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680" w:after="320" w:line="276" w:lineRule="auto"/>
      </w:pPr>
      <w:r>
        <w:rPr>
          <w:rFonts w:ascii="Calibri" w:hAnsi="Calibri" w:eastAsia="Calibri"/>
          <w:b/>
          <w:i w:val="0"/>
          <w:color w:val="C8102E"/>
          <w:sz w:val="18"/>
        </w:rPr>
        <w:t>РАБОЧИЙ ПАКЕТ ДЛЯ СОБСТВЕННИКА И ПРОЕКТНОЙ КОМАНДЫ</w:t>
      </w:r>
    </w:p>
    <w:p>
      <w:pPr>
        <w:keepNext/>
        <w:spacing w:before="0" w:after="280" w:line="276" w:lineRule="auto"/>
      </w:pPr>
      <w:r>
        <w:rPr>
          <w:rFonts w:ascii="Calibri" w:hAnsi="Calibri" w:eastAsia="Calibri"/>
          <w:b/>
          <w:i w:val="0"/>
          <w:color w:val="14181F"/>
          <w:sz w:val="52"/>
        </w:rPr>
        <w:t>Техническое задание</w:t>
        <w:br/>
        <w:t>на проектирование отеля</w:t>
      </w:r>
    </w:p>
    <w:p>
      <w:pPr>
        <w:keepNext w:val="0"/>
        <w:spacing w:before="0" w:after="440" w:line="276" w:lineRule="auto"/>
      </w:pPr>
      <w:r>
        <w:rPr>
          <w:rFonts w:ascii="Calibri" w:hAnsi="Calibri" w:eastAsia="Calibri"/>
          <w:b w:val="0"/>
          <w:i w:val="0"/>
          <w:color w:val="5E6670"/>
          <w:sz w:val="24"/>
        </w:rPr>
        <w:t>Шаблон помогает перевести гостиничную концепцию в проверяемые требования к архитектуре, инженерии, эксплуатации и цифровым системам.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2200"/>
        <w:gridCol w:w="7160"/>
      </w:tblGrid>
      <w:tr>
        <w:trPr>
          <w:cantSplit/>
          <w:tblHeader w:val="true"/>
        </w:trPr>
        <w:tc>
          <w:tcPr>
            <w:tcW w:type="dxa" w:w="22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Проект</w:t>
            </w:r>
          </w:p>
        </w:tc>
        <w:tc>
          <w:tcPr>
            <w:tcW w:type="dxa" w:w="7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</w:t>
            </w:r>
          </w:p>
        </w:tc>
      </w:tr>
      <w:tr>
        <w:trPr>
          <w:cantSplit/>
        </w:trPr>
        <w:tc>
          <w:tcPr>
            <w:tcW w:type="dxa" w:w="22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Локация</w:t>
            </w:r>
          </w:p>
        </w:tc>
        <w:tc>
          <w:tcPr>
            <w:tcW w:type="dxa" w:w="7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</w:t>
            </w:r>
          </w:p>
        </w:tc>
      </w:tr>
      <w:tr>
        <w:trPr>
          <w:cantSplit/>
        </w:trPr>
        <w:tc>
          <w:tcPr>
            <w:tcW w:type="dxa" w:w="22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Заказчик</w:t>
            </w:r>
          </w:p>
        </w:tc>
        <w:tc>
          <w:tcPr>
            <w:tcW w:type="dxa" w:w="7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</w:t>
            </w:r>
          </w:p>
        </w:tc>
      </w:tr>
      <w:tr>
        <w:trPr>
          <w:cantSplit/>
        </w:trPr>
        <w:tc>
          <w:tcPr>
            <w:tcW w:type="dxa" w:w="22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Версия / дата</w:t>
            </w:r>
          </w:p>
        </w:tc>
        <w:tc>
          <w:tcPr>
            <w:tcW w:type="dxa" w:w="7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</w:t>
            </w:r>
          </w:p>
        </w:tc>
      </w:tr>
    </w:tbl>
    <w:p>
      <w:pPr>
        <w:keepNext w:val="0"/>
        <w:spacing w:before="400" w:after="120" w:line="276" w:lineRule="auto"/>
      </w:pPr>
      <w:r>
        <w:rPr>
          <w:rFonts w:ascii="Calibri" w:hAnsi="Calibri" w:eastAsia="Calibri"/>
          <w:b/>
          <w:i w:val="0"/>
          <w:color w:val="14181F"/>
          <w:sz w:val="24"/>
        </w:rPr>
        <w:t>Как работать с шаблоном</w:t>
      </w:r>
    </w:p>
    <w:p>
      <w:pPr>
        <w:keepNext w:val="0"/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4181F"/>
          <w:sz w:val="19"/>
        </w:rPr>
        <w:t>Заполните исходные данные вместе с собственником и будущим оператором. Передайте согласованную версию архитектору и смежным проектировщикам. Для каждого решения фиксируйте источник, ответственного и критерий приёмки.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210"/>
        <w:gridCol w:w="9150"/>
      </w:tblGrid>
      <w:tr>
        <w:trPr>
          <w:cantSplit/>
          <w:tblHeader w:val="true"/>
        </w:trPr>
        <w:tc>
          <w:tcPr>
            <w:tcW w:type="dxa" w:w="2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  <w:shd w:fill="C8102E"/>
          </w:tcPr>
          <w:p>
            <w:r/>
          </w:p>
        </w:tc>
        <w:tc>
          <w:tcPr>
            <w:tcW w:type="dxa" w:w="91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  <w:shd w:fill="F7E7EA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4181F"/>
                <w:sz w:val="18"/>
              </w:rPr>
              <w:t>Это операторское техническое задание. Оно не заменяет проектную документацию, инженерные расчёты, изыскания, экспертизу и требования действующих нормативов.</w:t>
            </w:r>
          </w:p>
        </w:tc>
      </w:tr>
    </w:tbl>
    <w:p>
      <w:r>
        <w:br w:type="page"/>
      </w:r>
    </w:p>
    <w:p>
      <w:pPr>
        <w:keepNext/>
        <w:spacing w:before="0" w:after="80" w:line="276" w:lineRule="auto"/>
      </w:pPr>
      <w:r>
        <w:rPr>
          <w:rFonts w:ascii="Calibri" w:hAnsi="Calibri" w:eastAsia="Calibri"/>
          <w:b/>
          <w:i w:val="0"/>
          <w:color w:val="C8102E"/>
          <w:sz w:val="17"/>
        </w:rPr>
        <w:t>РАЗДЕЛ 01</w:t>
      </w:r>
    </w:p>
    <w:p>
      <w:pPr>
        <w:keepNext/>
        <w:spacing w:before="0" w:after="200" w:line="240" w:lineRule="auto"/>
      </w:pPr>
      <w:r>
        <w:rPr>
          <w:rFonts w:ascii="Calibri" w:hAnsi="Calibri" w:eastAsia="Calibri"/>
          <w:b/>
          <w:i w:val="0"/>
          <w:color w:val="14181F"/>
          <w:sz w:val="32"/>
        </w:rPr>
        <w:t>Паспорт проекта и цель инвестора</w:t>
      </w:r>
    </w:p>
    <w:p>
      <w:pPr>
        <w:keepNext w:val="0"/>
        <w:spacing w:before="0" w:after="200" w:line="276" w:lineRule="auto"/>
      </w:pPr>
      <w:r>
        <w:rPr>
          <w:rFonts w:ascii="Calibri" w:hAnsi="Calibri" w:eastAsia="Calibri"/>
          <w:b w:val="0"/>
          <w:i w:val="0"/>
          <w:color w:val="5E6670"/>
          <w:sz w:val="20"/>
        </w:rPr>
        <w:t>Зафиксируйте, что именно создаётся, для кого и в каких границах. Не подменяйте решение о формате пожеланиями к фасаду.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3100"/>
        <w:gridCol w:w="6260"/>
      </w:tblGrid>
      <w:tr>
        <w:trPr>
          <w:cantSplit/>
          <w:tblHeader w:val="true"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Название и адрес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Участок / кадастровый номер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Правообладатель / заказчик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Текущая стадия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☐ идея  ☐ участок  ☐ эскиз  ☐ проект  ☐ стройка  ☐ реконструкция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Тип объекта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☐ городской  ☐ загородный  ☐ курортный  ☐ апарт-отель  ☐ иной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Плановая дата открытия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</w:tbl>
    <w:p>
      <w:pPr>
        <w:keepNext/>
        <w:spacing w:before="200" w:after="120" w:line="240" w:lineRule="auto"/>
      </w:pPr>
      <w:r>
        <w:rPr>
          <w:rFonts w:ascii="Calibri" w:hAnsi="Calibri" w:eastAsia="Calibri"/>
          <w:b/>
          <w:i w:val="0"/>
          <w:color w:val="14181F"/>
          <w:sz w:val="26"/>
        </w:rPr>
        <w:t>Цель и ограничения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3100"/>
        <w:gridCol w:w="6260"/>
      </w:tblGrid>
      <w:tr>
        <w:trPr>
          <w:cantSplit/>
          <w:tblHeader w:val="true"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Инвестиционная цель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Целевой гость и сценарий поездки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Ключевой источник спроса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Ограничения участка / здания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Предельный бюджет / срок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</w:tbl>
    <w:p>
      <w:r>
        <w:br w:type="page"/>
      </w:r>
    </w:p>
    <w:p>
      <w:pPr>
        <w:keepNext/>
        <w:spacing w:before="0" w:after="80" w:line="276" w:lineRule="auto"/>
      </w:pPr>
      <w:r>
        <w:rPr>
          <w:rFonts w:ascii="Calibri" w:hAnsi="Calibri" w:eastAsia="Calibri"/>
          <w:b/>
          <w:i w:val="0"/>
          <w:color w:val="C8102E"/>
          <w:sz w:val="17"/>
        </w:rPr>
        <w:t>РАЗДЕЛ 02</w:t>
      </w:r>
    </w:p>
    <w:p>
      <w:pPr>
        <w:keepNext/>
        <w:spacing w:before="0" w:after="200" w:line="240" w:lineRule="auto"/>
      </w:pPr>
      <w:r>
        <w:rPr>
          <w:rFonts w:ascii="Calibri" w:hAnsi="Calibri" w:eastAsia="Calibri"/>
          <w:b/>
          <w:i w:val="0"/>
          <w:color w:val="14181F"/>
          <w:sz w:val="32"/>
        </w:rPr>
        <w:t>Исходные данные</w:t>
      </w:r>
    </w:p>
    <w:p>
      <w:pPr>
        <w:keepNext w:val="0"/>
        <w:spacing w:before="0" w:after="200" w:line="276" w:lineRule="auto"/>
      </w:pPr>
      <w:r>
        <w:rPr>
          <w:rFonts w:ascii="Calibri" w:hAnsi="Calibri" w:eastAsia="Calibri"/>
          <w:b w:val="0"/>
          <w:i w:val="0"/>
          <w:color w:val="5E6670"/>
          <w:sz w:val="20"/>
        </w:rPr>
        <w:t>Отметьте не только наличие файла, но и его актуальность. Непроверенное допущение должно оставаться видимым для всей команды.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520"/>
        <w:gridCol w:w="4040"/>
        <w:gridCol w:w="4800"/>
      </w:tblGrid>
      <w:tr>
        <w:trPr>
          <w:tblHeader w:val="true"/>
          <w:cantSplit/>
        </w:trPr>
        <w:tc>
          <w:tcPr>
            <w:tcW w:type="dxa" w:w="52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Статус</w:t>
            </w:r>
          </w:p>
        </w:tc>
        <w:tc>
          <w:tcPr>
            <w:tcW w:type="dxa" w:w="404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Пункт</w:t>
            </w:r>
          </w:p>
        </w:tc>
        <w:tc>
          <w:tcPr>
            <w:tcW w:type="dxa" w:w="48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Комментарий / источник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Правоустанавливающие документы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Файл / дата / ответственный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ГПЗУ, ПЗЗ и ограничения использования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Файл / дата / ответственный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Топосъёмка, геология, геодезия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Файл / дата / ответственный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Обмеры и обследование конструкций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Для реконструкции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Технические условия на подключения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Мощности и точки присоединения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Маркетинговое исследование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Спрос, конкуренты, сезонность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Финансовая модель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Сценарий / дата / автор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Предварительная концепция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Формат, класс, номерной фонд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Требования бренда / оператора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Версия стандарта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Иные согласования и ограничения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Охрана наследия, экология и др.</w:t>
            </w:r>
          </w:p>
        </w:tc>
      </w:tr>
    </w:tbl>
    <w:p>
      <w:pPr>
        <w:keepNext/>
        <w:spacing w:before="200" w:after="120" w:line="240" w:lineRule="auto"/>
      </w:pPr>
      <w:r>
        <w:rPr>
          <w:rFonts w:ascii="Calibri" w:hAnsi="Calibri" w:eastAsia="Calibri"/>
          <w:b/>
          <w:i w:val="0"/>
          <w:color w:val="14181F"/>
          <w:sz w:val="26"/>
        </w:rPr>
        <w:t>Реестр допущений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3000"/>
        <w:gridCol w:w="3000"/>
        <w:gridCol w:w="2160"/>
        <w:gridCol w:w="1200"/>
      </w:tblGrid>
      <w:tr>
        <w:trPr>
          <w:tblHeader w:val="true"/>
          <w:cantSplit/>
        </w:trPr>
        <w:tc>
          <w:tcPr>
            <w:tcW w:type="dxa" w:w="30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Допущение</w:t>
            </w:r>
          </w:p>
        </w:tc>
        <w:tc>
          <w:tcPr>
            <w:tcW w:type="dxa" w:w="30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Почему принято</w:t>
            </w:r>
          </w:p>
        </w:tc>
        <w:tc>
          <w:tcPr>
            <w:tcW w:type="dxa" w:w="216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Кто проверяет</w:t>
            </w:r>
          </w:p>
        </w:tc>
        <w:tc>
          <w:tcPr>
            <w:tcW w:type="dxa" w:w="12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Срок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________________</w:t>
            </w:r>
          </w:p>
        </w:tc>
        <w:tc>
          <w:tcPr>
            <w:tcW w:type="dxa" w:w="3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1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</w:t>
            </w:r>
          </w:p>
        </w:tc>
      </w:tr>
      <w:tr>
        <w:trPr>
          <w:cantSplit/>
        </w:trPr>
        <w:tc>
          <w:tcPr>
            <w:tcW w:type="dxa" w:w="30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________________</w:t>
            </w:r>
          </w:p>
        </w:tc>
        <w:tc>
          <w:tcPr>
            <w:tcW w:type="dxa" w:w="30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1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12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________________</w:t>
            </w:r>
          </w:p>
        </w:tc>
        <w:tc>
          <w:tcPr>
            <w:tcW w:type="dxa" w:w="3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1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</w:t>
            </w:r>
          </w:p>
        </w:tc>
      </w:tr>
    </w:tbl>
    <w:p>
      <w:r>
        <w:br w:type="page"/>
      </w:r>
    </w:p>
    <w:p>
      <w:pPr>
        <w:keepNext/>
        <w:spacing w:before="0" w:after="80" w:line="276" w:lineRule="auto"/>
      </w:pPr>
      <w:r>
        <w:rPr>
          <w:rFonts w:ascii="Calibri" w:hAnsi="Calibri" w:eastAsia="Calibri"/>
          <w:b/>
          <w:i w:val="0"/>
          <w:color w:val="C8102E"/>
          <w:sz w:val="17"/>
        </w:rPr>
        <w:t>РАЗДЕЛ 03</w:t>
      </w:r>
    </w:p>
    <w:p>
      <w:pPr>
        <w:keepNext/>
        <w:spacing w:before="0" w:after="200" w:line="240" w:lineRule="auto"/>
      </w:pPr>
      <w:r>
        <w:rPr>
          <w:rFonts w:ascii="Calibri" w:hAnsi="Calibri" w:eastAsia="Calibri"/>
          <w:b/>
          <w:i w:val="0"/>
          <w:color w:val="14181F"/>
          <w:sz w:val="32"/>
        </w:rPr>
        <w:t>Номерной фонд</w:t>
      </w:r>
    </w:p>
    <w:p>
      <w:pPr>
        <w:keepNext w:val="0"/>
        <w:spacing w:before="0" w:after="200" w:line="276" w:lineRule="auto"/>
      </w:pPr>
      <w:r>
        <w:rPr>
          <w:rFonts w:ascii="Calibri" w:hAnsi="Calibri" w:eastAsia="Calibri"/>
          <w:b w:val="0"/>
          <w:i w:val="0"/>
          <w:color w:val="5E6670"/>
          <w:sz w:val="20"/>
        </w:rPr>
        <w:t>Состав номеров должен следовать спросу и экономике. Площадь — это не единственный критерий: проверяйте хранение, уборку, инженерные узлы и доступность.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2050"/>
        <w:gridCol w:w="900"/>
        <w:gridCol w:w="1100"/>
        <w:gridCol w:w="1250"/>
        <w:gridCol w:w="4060"/>
      </w:tblGrid>
      <w:tr>
        <w:trPr>
          <w:tblHeader w:val="true"/>
          <w:cantSplit/>
        </w:trPr>
        <w:tc>
          <w:tcPr>
            <w:tcW w:type="dxa" w:w="205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Категория</w:t>
            </w:r>
          </w:p>
        </w:tc>
        <w:tc>
          <w:tcPr>
            <w:tcW w:type="dxa" w:w="9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Кол-во</w:t>
            </w:r>
          </w:p>
        </w:tc>
        <w:tc>
          <w:tcPr>
            <w:tcW w:type="dxa" w:w="11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Площадь</w:t>
            </w:r>
          </w:p>
        </w:tc>
        <w:tc>
          <w:tcPr>
            <w:tcW w:type="dxa" w:w="125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Спальных мест</w:t>
            </w:r>
          </w:p>
        </w:tc>
        <w:tc>
          <w:tcPr>
            <w:tcW w:type="dxa" w:w="406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Особые требования</w:t>
            </w:r>
          </w:p>
        </w:tc>
      </w:tr>
      <w:tr>
        <w:trPr>
          <w:cantSplit/>
        </w:trPr>
        <w:tc>
          <w:tcPr>
            <w:tcW w:type="dxa" w:w="20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Стандарт</w:t>
            </w:r>
          </w:p>
        </w:tc>
        <w:tc>
          <w:tcPr>
            <w:tcW w:type="dxa" w:w="9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1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 м²</w:t>
            </w:r>
          </w:p>
        </w:tc>
        <w:tc>
          <w:tcPr>
            <w:tcW w:type="dxa" w:w="12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40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20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Улучшенный</w:t>
            </w:r>
          </w:p>
        </w:tc>
        <w:tc>
          <w:tcPr>
            <w:tcW w:type="dxa" w:w="9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1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 м²</w:t>
            </w:r>
          </w:p>
        </w:tc>
        <w:tc>
          <w:tcPr>
            <w:tcW w:type="dxa" w:w="12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40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20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Люкс / семейный</w:t>
            </w:r>
          </w:p>
        </w:tc>
        <w:tc>
          <w:tcPr>
            <w:tcW w:type="dxa" w:w="9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1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 м²</w:t>
            </w:r>
          </w:p>
        </w:tc>
        <w:tc>
          <w:tcPr>
            <w:tcW w:type="dxa" w:w="12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40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20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Доступный номер</w:t>
            </w:r>
          </w:p>
        </w:tc>
        <w:tc>
          <w:tcPr>
            <w:tcW w:type="dxa" w:w="9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1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 м²</w:t>
            </w:r>
          </w:p>
        </w:tc>
        <w:tc>
          <w:tcPr>
            <w:tcW w:type="dxa" w:w="12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40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20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Апартамент / длительное проживание</w:t>
            </w:r>
          </w:p>
        </w:tc>
        <w:tc>
          <w:tcPr>
            <w:tcW w:type="dxa" w:w="9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1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 м²</w:t>
            </w:r>
          </w:p>
        </w:tc>
        <w:tc>
          <w:tcPr>
            <w:tcW w:type="dxa" w:w="12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40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20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Итого</w:t>
            </w:r>
          </w:p>
        </w:tc>
        <w:tc>
          <w:tcPr>
            <w:tcW w:type="dxa" w:w="9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1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—</w:t>
            </w:r>
          </w:p>
        </w:tc>
        <w:tc>
          <w:tcPr>
            <w:tcW w:type="dxa" w:w="12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40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________________________________</w:t>
            </w:r>
          </w:p>
        </w:tc>
      </w:tr>
    </w:tbl>
    <w:p>
      <w:pPr>
        <w:keepNext/>
        <w:spacing w:before="200" w:after="120" w:line="240" w:lineRule="auto"/>
      </w:pPr>
      <w:r>
        <w:rPr>
          <w:rFonts w:ascii="Calibri" w:hAnsi="Calibri" w:eastAsia="Calibri"/>
          <w:b/>
          <w:i w:val="0"/>
          <w:color w:val="14181F"/>
          <w:sz w:val="26"/>
        </w:rPr>
        <w:t>Проверка типового номера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520"/>
        <w:gridCol w:w="4040"/>
        <w:gridCol w:w="4800"/>
      </w:tblGrid>
      <w:tr>
        <w:trPr>
          <w:tblHeader w:val="true"/>
          <w:cantSplit/>
        </w:trPr>
        <w:tc>
          <w:tcPr>
            <w:tcW w:type="dxa" w:w="52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Статус</w:t>
            </w:r>
          </w:p>
        </w:tc>
        <w:tc>
          <w:tcPr>
            <w:tcW w:type="dxa" w:w="404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Пункт</w:t>
            </w:r>
          </w:p>
        </w:tc>
        <w:tc>
          <w:tcPr>
            <w:tcW w:type="dxa" w:w="48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Комментарий / источник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Входная зона и хранение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Багаж, верхняя одежда, сейф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Спальное место и проходы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Сценарии twin / double при необходимости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Рабочая зона и розетки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Гость, уборка, обслуживание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Санузел и гидроизоляция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Шахты, уклоны, доступ к ревизиям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Климат и акустика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Комфорт, шум оборудования и коридора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Уборка и ремонтопригодность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Тележка, расходники, смена элементов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Доступность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Маршруты и оснащение по применимым требованиям</w:t>
            </w:r>
          </w:p>
        </w:tc>
      </w:tr>
    </w:tbl>
    <w:p>
      <w:r>
        <w:br w:type="page"/>
      </w:r>
    </w:p>
    <w:p>
      <w:pPr>
        <w:keepNext/>
        <w:spacing w:before="0" w:after="80" w:line="276" w:lineRule="auto"/>
      </w:pPr>
      <w:r>
        <w:rPr>
          <w:rFonts w:ascii="Calibri" w:hAnsi="Calibri" w:eastAsia="Calibri"/>
          <w:b/>
          <w:i w:val="0"/>
          <w:color w:val="C8102E"/>
          <w:sz w:val="17"/>
        </w:rPr>
        <w:t>РАЗДЕЛ 04</w:t>
      </w:r>
    </w:p>
    <w:p>
      <w:pPr>
        <w:keepNext/>
        <w:spacing w:before="0" w:after="200" w:line="240" w:lineRule="auto"/>
      </w:pPr>
      <w:r>
        <w:rPr>
          <w:rFonts w:ascii="Calibri" w:hAnsi="Calibri" w:eastAsia="Calibri"/>
          <w:b/>
          <w:i w:val="0"/>
          <w:color w:val="14181F"/>
          <w:sz w:val="32"/>
        </w:rPr>
        <w:t>Функциональная программа</w:t>
      </w:r>
    </w:p>
    <w:p>
      <w:pPr>
        <w:keepNext w:val="0"/>
        <w:spacing w:before="0" w:after="200" w:line="276" w:lineRule="auto"/>
      </w:pPr>
      <w:r>
        <w:rPr>
          <w:rFonts w:ascii="Calibri" w:hAnsi="Calibri" w:eastAsia="Calibri"/>
          <w:b w:val="0"/>
          <w:i w:val="0"/>
          <w:color w:val="5E6670"/>
          <w:sz w:val="20"/>
        </w:rPr>
        <w:t>Для каждой зоны укажите назначение, ориентир площади и связь с соседними функциями. Итоговые значения подтверждаются расчётами проектной команды.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1800"/>
        <w:gridCol w:w="2780"/>
        <w:gridCol w:w="1500"/>
        <w:gridCol w:w="3280"/>
      </w:tblGrid>
      <w:tr>
        <w:trPr>
          <w:tblHeader w:val="true"/>
          <w:cantSplit/>
        </w:trPr>
        <w:tc>
          <w:tcPr>
            <w:tcW w:type="dxa" w:w="18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Зона</w:t>
            </w:r>
          </w:p>
        </w:tc>
        <w:tc>
          <w:tcPr>
            <w:tcW w:type="dxa" w:w="278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Функция / состав</w:t>
            </w:r>
          </w:p>
        </w:tc>
        <w:tc>
          <w:tcPr>
            <w:tcW w:type="dxa" w:w="15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Ориентир площади</w:t>
            </w:r>
          </w:p>
        </w:tc>
        <w:tc>
          <w:tcPr>
            <w:tcW w:type="dxa" w:w="328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Связи и ограничения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Вход и лобби</w:t>
            </w:r>
          </w:p>
        </w:tc>
        <w:tc>
          <w:tcPr>
            <w:tcW w:type="dxa" w:w="27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Вестибюль, ожидание, багаж</w:t>
            </w:r>
          </w:p>
        </w:tc>
        <w:tc>
          <w:tcPr>
            <w:tcW w:type="dxa" w:w="1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 м²</w:t>
            </w:r>
          </w:p>
        </w:tc>
        <w:tc>
          <w:tcPr>
            <w:tcW w:type="dxa" w:w="32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18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Стойка / офис приёма</w:t>
            </w:r>
          </w:p>
        </w:tc>
        <w:tc>
          <w:tcPr>
            <w:tcW w:type="dxa" w:w="27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Заселение, касса, хранение</w:t>
            </w:r>
          </w:p>
        </w:tc>
        <w:tc>
          <w:tcPr>
            <w:tcW w:type="dxa" w:w="15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 м²</w:t>
            </w:r>
          </w:p>
        </w:tc>
        <w:tc>
          <w:tcPr>
            <w:tcW w:type="dxa" w:w="32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F&amp;B</w:t>
            </w:r>
          </w:p>
        </w:tc>
        <w:tc>
          <w:tcPr>
            <w:tcW w:type="dxa" w:w="27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Завтрак, ресторан, бар, кухня</w:t>
            </w:r>
          </w:p>
        </w:tc>
        <w:tc>
          <w:tcPr>
            <w:tcW w:type="dxa" w:w="1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 м²</w:t>
            </w:r>
          </w:p>
        </w:tc>
        <w:tc>
          <w:tcPr>
            <w:tcW w:type="dxa" w:w="32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18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Деловые / событийные зоны</w:t>
            </w:r>
          </w:p>
        </w:tc>
        <w:tc>
          <w:tcPr>
            <w:tcW w:type="dxa" w:w="27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Переговорные, конференции</w:t>
            </w:r>
          </w:p>
        </w:tc>
        <w:tc>
          <w:tcPr>
            <w:tcW w:type="dxa" w:w="15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 м²</w:t>
            </w:r>
          </w:p>
        </w:tc>
        <w:tc>
          <w:tcPr>
            <w:tcW w:type="dxa" w:w="32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Wellness / досуг</w:t>
            </w:r>
          </w:p>
        </w:tc>
        <w:tc>
          <w:tcPr>
            <w:tcW w:type="dxa" w:w="27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Спа, фитнес, детская</w:t>
            </w:r>
          </w:p>
        </w:tc>
        <w:tc>
          <w:tcPr>
            <w:tcW w:type="dxa" w:w="1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 м²</w:t>
            </w:r>
          </w:p>
        </w:tc>
        <w:tc>
          <w:tcPr>
            <w:tcW w:type="dxa" w:w="32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18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Housekeeping</w:t>
            </w:r>
          </w:p>
        </w:tc>
        <w:tc>
          <w:tcPr>
            <w:tcW w:type="dxa" w:w="27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Бельевые, кладовые, тележки</w:t>
            </w:r>
          </w:p>
        </w:tc>
        <w:tc>
          <w:tcPr>
            <w:tcW w:type="dxa" w:w="15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 м²</w:t>
            </w:r>
          </w:p>
        </w:tc>
        <w:tc>
          <w:tcPr>
            <w:tcW w:type="dxa" w:w="32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Персонал</w:t>
            </w:r>
          </w:p>
        </w:tc>
        <w:tc>
          <w:tcPr>
            <w:tcW w:type="dxa" w:w="27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Раздевалки, санузлы, питание</w:t>
            </w:r>
          </w:p>
        </w:tc>
        <w:tc>
          <w:tcPr>
            <w:tcW w:type="dxa" w:w="1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 м²</w:t>
            </w:r>
          </w:p>
        </w:tc>
        <w:tc>
          <w:tcPr>
            <w:tcW w:type="dxa" w:w="32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18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Склады и загрузка</w:t>
            </w:r>
          </w:p>
        </w:tc>
        <w:tc>
          <w:tcPr>
            <w:tcW w:type="dxa" w:w="27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Приёмка, сухой/холодный склад</w:t>
            </w:r>
          </w:p>
        </w:tc>
        <w:tc>
          <w:tcPr>
            <w:tcW w:type="dxa" w:w="15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 м²</w:t>
            </w:r>
          </w:p>
        </w:tc>
        <w:tc>
          <w:tcPr>
            <w:tcW w:type="dxa" w:w="32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Технические помещения</w:t>
            </w:r>
          </w:p>
        </w:tc>
        <w:tc>
          <w:tcPr>
            <w:tcW w:type="dxa" w:w="27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ИТ, электро, вентиляция и др.</w:t>
            </w:r>
          </w:p>
        </w:tc>
        <w:tc>
          <w:tcPr>
            <w:tcW w:type="dxa" w:w="1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 м²</w:t>
            </w:r>
          </w:p>
        </w:tc>
        <w:tc>
          <w:tcPr>
            <w:tcW w:type="dxa" w:w="32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18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Парковка и территория</w:t>
            </w:r>
          </w:p>
        </w:tc>
        <w:tc>
          <w:tcPr>
            <w:tcW w:type="dxa" w:w="27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Гости, такси, сервис</w:t>
            </w:r>
          </w:p>
        </w:tc>
        <w:tc>
          <w:tcPr>
            <w:tcW w:type="dxa" w:w="15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 м²</w:t>
            </w:r>
          </w:p>
        </w:tc>
        <w:tc>
          <w:tcPr>
            <w:tcW w:type="dxa" w:w="32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210"/>
        <w:gridCol w:w="9150"/>
      </w:tblGrid>
      <w:tr>
        <w:trPr>
          <w:cantSplit/>
          <w:tblHeader w:val="true"/>
        </w:trPr>
        <w:tc>
          <w:tcPr>
            <w:tcW w:type="dxa" w:w="2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  <w:shd w:fill="C8102E"/>
          </w:tcPr>
          <w:p>
            <w:r/>
          </w:p>
        </w:tc>
        <w:tc>
          <w:tcPr>
            <w:tcW w:type="dxa" w:w="91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  <w:shd w:fill="F7E7EA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4181F"/>
                <w:sz w:val="18"/>
              </w:rPr>
              <w:t>Площадь служебных зон нельзя сокращать изолированно ради продаваемых метров: сначала пересчитываются операции, потоки и штатная модель.</w:t>
            </w:r>
          </w:p>
        </w:tc>
      </w:tr>
    </w:tbl>
    <w:p>
      <w:r>
        <w:br w:type="page"/>
      </w:r>
    </w:p>
    <w:p>
      <w:pPr>
        <w:keepNext/>
        <w:spacing w:before="0" w:after="80" w:line="276" w:lineRule="auto"/>
      </w:pPr>
      <w:r>
        <w:rPr>
          <w:rFonts w:ascii="Calibri" w:hAnsi="Calibri" w:eastAsia="Calibri"/>
          <w:b/>
          <w:i w:val="0"/>
          <w:color w:val="C8102E"/>
          <w:sz w:val="17"/>
        </w:rPr>
        <w:t>РАЗДЕЛ 05</w:t>
      </w:r>
    </w:p>
    <w:p>
      <w:pPr>
        <w:keepNext/>
        <w:spacing w:before="0" w:after="200" w:line="240" w:lineRule="auto"/>
      </w:pPr>
      <w:r>
        <w:rPr>
          <w:rFonts w:ascii="Calibri" w:hAnsi="Calibri" w:eastAsia="Calibri"/>
          <w:b/>
          <w:i w:val="0"/>
          <w:color w:val="14181F"/>
          <w:sz w:val="32"/>
        </w:rPr>
        <w:t>Потоки и операционные сценарии</w:t>
      </w:r>
    </w:p>
    <w:p>
      <w:pPr>
        <w:keepNext w:val="0"/>
        <w:spacing w:before="0" w:after="200" w:line="276" w:lineRule="auto"/>
      </w:pPr>
      <w:r>
        <w:rPr>
          <w:rFonts w:ascii="Calibri" w:hAnsi="Calibri" w:eastAsia="Calibri"/>
          <w:b w:val="0"/>
          <w:i w:val="0"/>
          <w:color w:val="5E6670"/>
          <w:sz w:val="20"/>
        </w:rPr>
        <w:t>Нарисуйте маршруты на планах и проверьте их в пиковые периоды. Конфликты потоков, заложенные в планировку, почти всегда превращаются в постоянные расходы.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1850"/>
        <w:gridCol w:w="2380"/>
        <w:gridCol w:w="2380"/>
        <w:gridCol w:w="2750"/>
      </w:tblGrid>
      <w:tr>
        <w:trPr>
          <w:tblHeader w:val="true"/>
          <w:cantSplit/>
        </w:trPr>
        <w:tc>
          <w:tcPr>
            <w:tcW w:type="dxa" w:w="185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Поток</w:t>
            </w:r>
          </w:p>
        </w:tc>
        <w:tc>
          <w:tcPr>
            <w:tcW w:type="dxa" w:w="238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Откуда → куда</w:t>
            </w:r>
          </w:p>
        </w:tc>
        <w:tc>
          <w:tcPr>
            <w:tcW w:type="dxa" w:w="238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Пиковый сценарий</w:t>
            </w:r>
          </w:p>
        </w:tc>
        <w:tc>
          <w:tcPr>
            <w:tcW w:type="dxa" w:w="275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Разделение / контроль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Гость с багажом</w:t>
            </w:r>
          </w:p>
        </w:tc>
        <w:tc>
          <w:tcPr>
            <w:tcW w:type="dxa" w:w="23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3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Заезд группы / очередь</w:t>
            </w:r>
          </w:p>
        </w:tc>
        <w:tc>
          <w:tcPr>
            <w:tcW w:type="dxa" w:w="27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Гость к F&amp;B / досугу</w:t>
            </w:r>
          </w:p>
        </w:tc>
        <w:tc>
          <w:tcPr>
            <w:tcW w:type="dxa" w:w="23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3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Завтрак / событие</w:t>
            </w:r>
          </w:p>
        </w:tc>
        <w:tc>
          <w:tcPr>
            <w:tcW w:type="dxa" w:w="27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Персонал</w:t>
            </w:r>
          </w:p>
        </w:tc>
        <w:tc>
          <w:tcPr>
            <w:tcW w:type="dxa" w:w="23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3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Смена</w:t>
            </w:r>
          </w:p>
        </w:tc>
        <w:tc>
          <w:tcPr>
            <w:tcW w:type="dxa" w:w="27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Чистое бельё</w:t>
            </w:r>
          </w:p>
        </w:tc>
        <w:tc>
          <w:tcPr>
            <w:tcW w:type="dxa" w:w="23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3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Развоз по этажам</w:t>
            </w:r>
          </w:p>
        </w:tc>
        <w:tc>
          <w:tcPr>
            <w:tcW w:type="dxa" w:w="27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Грязное бельё</w:t>
            </w:r>
          </w:p>
        </w:tc>
        <w:tc>
          <w:tcPr>
            <w:tcW w:type="dxa" w:w="23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3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Сбор и вывоз</w:t>
            </w:r>
          </w:p>
        </w:tc>
        <w:tc>
          <w:tcPr>
            <w:tcW w:type="dxa" w:w="27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Продукты и товары</w:t>
            </w:r>
          </w:p>
        </w:tc>
        <w:tc>
          <w:tcPr>
            <w:tcW w:type="dxa" w:w="23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3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Поставка</w:t>
            </w:r>
          </w:p>
        </w:tc>
        <w:tc>
          <w:tcPr>
            <w:tcW w:type="dxa" w:w="27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Отходы</w:t>
            </w:r>
          </w:p>
        </w:tc>
        <w:tc>
          <w:tcPr>
            <w:tcW w:type="dxa" w:w="23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3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Сбор и вывоз</w:t>
            </w:r>
          </w:p>
        </w:tc>
        <w:tc>
          <w:tcPr>
            <w:tcW w:type="dxa" w:w="27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Пожарная эвакуация</w:t>
            </w:r>
          </w:p>
        </w:tc>
        <w:tc>
          <w:tcPr>
            <w:tcW w:type="dxa" w:w="23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3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Ночной сценарий</w:t>
            </w:r>
          </w:p>
        </w:tc>
        <w:tc>
          <w:tcPr>
            <w:tcW w:type="dxa" w:w="27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Маломобильный гость</w:t>
            </w:r>
          </w:p>
        </w:tc>
        <w:tc>
          <w:tcPr>
            <w:tcW w:type="dxa" w:w="23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3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Весь гостевой путь</w:t>
            </w:r>
          </w:p>
        </w:tc>
        <w:tc>
          <w:tcPr>
            <w:tcW w:type="dxa" w:w="27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Сервис / ремонт</w:t>
            </w:r>
          </w:p>
        </w:tc>
        <w:tc>
          <w:tcPr>
            <w:tcW w:type="dxa" w:w="23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3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Аварийный доступ</w:t>
            </w:r>
          </w:p>
        </w:tc>
        <w:tc>
          <w:tcPr>
            <w:tcW w:type="dxa" w:w="27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</w:tbl>
    <w:p>
      <w:pPr>
        <w:keepNext/>
        <w:spacing w:before="200" w:after="120" w:line="240" w:lineRule="auto"/>
      </w:pPr>
      <w:r>
        <w:rPr>
          <w:rFonts w:ascii="Calibri" w:hAnsi="Calibri" w:eastAsia="Calibri"/>
          <w:b/>
          <w:i w:val="0"/>
          <w:color w:val="14181F"/>
          <w:sz w:val="26"/>
        </w:rPr>
        <w:t>Операционные проверки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520"/>
        <w:gridCol w:w="4040"/>
        <w:gridCol w:w="4800"/>
      </w:tblGrid>
      <w:tr>
        <w:trPr>
          <w:tblHeader w:val="true"/>
          <w:cantSplit/>
        </w:trPr>
        <w:tc>
          <w:tcPr>
            <w:tcW w:type="dxa" w:w="52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Статус</w:t>
            </w:r>
          </w:p>
        </w:tc>
        <w:tc>
          <w:tcPr>
            <w:tcW w:type="dxa" w:w="404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Пункт</w:t>
            </w:r>
          </w:p>
        </w:tc>
        <w:tc>
          <w:tcPr>
            <w:tcW w:type="dxa" w:w="48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Комментарий / источник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Тележка проходит от служебной зоны до номера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Повороты, двери, лифты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Поставка не пересекается с гостевым входом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Окно поставки и маршрут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Шумные функции отделены от номеров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Кухня, инженерия, события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Сервисный доступ не требует закрывать гостевую зону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Ремонт и замена оборудования</w:t>
            </w:r>
          </w:p>
        </w:tc>
      </w:tr>
    </w:tbl>
    <w:p>
      <w:r>
        <w:br w:type="page"/>
      </w:r>
    </w:p>
    <w:p>
      <w:pPr>
        <w:keepNext/>
        <w:spacing w:before="0" w:after="80" w:line="276" w:lineRule="auto"/>
      </w:pPr>
      <w:r>
        <w:rPr>
          <w:rFonts w:ascii="Calibri" w:hAnsi="Calibri" w:eastAsia="Calibri"/>
          <w:b/>
          <w:i w:val="0"/>
          <w:color w:val="C8102E"/>
          <w:sz w:val="17"/>
        </w:rPr>
        <w:t>РАЗДЕЛ 06</w:t>
      </w:r>
    </w:p>
    <w:p>
      <w:pPr>
        <w:keepNext/>
        <w:spacing w:before="0" w:after="200" w:line="240" w:lineRule="auto"/>
      </w:pPr>
      <w:r>
        <w:rPr>
          <w:rFonts w:ascii="Calibri" w:hAnsi="Calibri" w:eastAsia="Calibri"/>
          <w:b/>
          <w:i w:val="0"/>
          <w:color w:val="14181F"/>
          <w:sz w:val="32"/>
        </w:rPr>
        <w:t>Инженерия</w:t>
      </w:r>
    </w:p>
    <w:p>
      <w:pPr>
        <w:keepNext w:val="0"/>
        <w:spacing w:before="0" w:after="200" w:line="276" w:lineRule="auto"/>
      </w:pPr>
      <w:r>
        <w:rPr>
          <w:rFonts w:ascii="Calibri" w:hAnsi="Calibri" w:eastAsia="Calibri"/>
          <w:b w:val="0"/>
          <w:i w:val="0"/>
          <w:color w:val="5E6670"/>
          <w:sz w:val="20"/>
        </w:rPr>
        <w:t>Проектировщики рассчитывают системы по исходным нагрузкам. Здесь фиксируются гостиничные режимы, резервирование, эксплуатационный доступ и данные для расчётов.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1850"/>
        <w:gridCol w:w="2880"/>
        <w:gridCol w:w="2110"/>
        <w:gridCol w:w="2520"/>
      </w:tblGrid>
      <w:tr>
        <w:trPr>
          <w:tblHeader w:val="true"/>
          <w:cantSplit/>
        </w:trPr>
        <w:tc>
          <w:tcPr>
            <w:tcW w:type="dxa" w:w="185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Система</w:t>
            </w:r>
          </w:p>
        </w:tc>
        <w:tc>
          <w:tcPr>
            <w:tcW w:type="dxa" w:w="288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Гостиничный сценарий</w:t>
            </w:r>
          </w:p>
        </w:tc>
        <w:tc>
          <w:tcPr>
            <w:tcW w:type="dxa" w:w="211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Исходные данные</w:t>
            </w:r>
          </w:p>
        </w:tc>
        <w:tc>
          <w:tcPr>
            <w:tcW w:type="dxa" w:w="252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Критерий приёмки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Электроснабжение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Номерной фонд, кухня, лифты, ИТ</w:t>
            </w:r>
          </w:p>
        </w:tc>
        <w:tc>
          <w:tcPr>
            <w:tcW w:type="dxa" w:w="21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Мощность / категории</w:t>
            </w: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Водоснабжение / ГВС</w:t>
            </w:r>
          </w:p>
        </w:tc>
        <w:tc>
          <w:tcPr>
            <w:tcW w:type="dxa" w:w="28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Утренний и вечерний пик</w:t>
            </w:r>
          </w:p>
        </w:tc>
        <w:tc>
          <w:tcPr>
            <w:tcW w:type="dxa" w:w="211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Расход / резерв</w:t>
            </w:r>
          </w:p>
        </w:tc>
        <w:tc>
          <w:tcPr>
            <w:tcW w:type="dxa" w:w="252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Канализация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Номера, кухня, прачечная</w:t>
            </w:r>
          </w:p>
        </w:tc>
        <w:tc>
          <w:tcPr>
            <w:tcW w:type="dxa" w:w="21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Точки / объёмы</w:t>
            </w: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Вентиляция / кондиционирование</w:t>
            </w:r>
          </w:p>
        </w:tc>
        <w:tc>
          <w:tcPr>
            <w:tcW w:type="dxa" w:w="28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Номера, F&amp;B, служебные зоны</w:t>
            </w:r>
          </w:p>
        </w:tc>
        <w:tc>
          <w:tcPr>
            <w:tcW w:type="dxa" w:w="211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Режимы / шум</w:t>
            </w:r>
          </w:p>
        </w:tc>
        <w:tc>
          <w:tcPr>
            <w:tcW w:type="dxa" w:w="252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Отопление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Сезонность и незаселённые номера</w:t>
            </w:r>
          </w:p>
        </w:tc>
        <w:tc>
          <w:tcPr>
            <w:tcW w:type="dxa" w:w="21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Температуры</w:t>
            </w: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Слаботочные системы</w:t>
            </w:r>
          </w:p>
        </w:tc>
        <w:tc>
          <w:tcPr>
            <w:tcW w:type="dxa" w:w="28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Сеть, ТВ, телефония, СКУД</w:t>
            </w:r>
          </w:p>
        </w:tc>
        <w:tc>
          <w:tcPr>
            <w:tcW w:type="dxa" w:w="211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Покрытие / порты</w:t>
            </w:r>
          </w:p>
        </w:tc>
        <w:tc>
          <w:tcPr>
            <w:tcW w:type="dxa" w:w="252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Пожарная безопасность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Ночная загрузка и эвакуация</w:t>
            </w:r>
          </w:p>
        </w:tc>
        <w:tc>
          <w:tcPr>
            <w:tcW w:type="dxa" w:w="21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Категории / сценарии</w:t>
            </w: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Вертикальный транспорт</w:t>
            </w:r>
          </w:p>
        </w:tc>
        <w:tc>
          <w:tcPr>
            <w:tcW w:type="dxa" w:w="28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Гости, сервис, доступность</w:t>
            </w:r>
          </w:p>
        </w:tc>
        <w:tc>
          <w:tcPr>
            <w:tcW w:type="dxa" w:w="211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Потоки / пики</w:t>
            </w:r>
          </w:p>
        </w:tc>
        <w:tc>
          <w:tcPr>
            <w:tcW w:type="dxa" w:w="252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Учёт ресурсов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По зонам и крупным потребителям</w:t>
            </w:r>
          </w:p>
        </w:tc>
        <w:tc>
          <w:tcPr>
            <w:tcW w:type="dxa" w:w="21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Точки учёта</w:t>
            </w: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Резервирование</w:t>
            </w:r>
          </w:p>
        </w:tc>
        <w:tc>
          <w:tcPr>
            <w:tcW w:type="dxa" w:w="28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Критические системы</w:t>
            </w:r>
          </w:p>
        </w:tc>
        <w:tc>
          <w:tcPr>
            <w:tcW w:type="dxa" w:w="211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Время автономии</w:t>
            </w:r>
          </w:p>
        </w:tc>
        <w:tc>
          <w:tcPr>
            <w:tcW w:type="dxa" w:w="252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210"/>
        <w:gridCol w:w="9150"/>
      </w:tblGrid>
      <w:tr>
        <w:trPr>
          <w:cantSplit/>
          <w:tblHeader w:val="true"/>
        </w:trPr>
        <w:tc>
          <w:tcPr>
            <w:tcW w:type="dxa" w:w="2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  <w:shd w:fill="C8102E"/>
          </w:tcPr>
          <w:p>
            <w:r/>
          </w:p>
        </w:tc>
        <w:tc>
          <w:tcPr>
            <w:tcW w:type="dxa" w:w="91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  <w:shd w:fill="F7E7EA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4181F"/>
                <w:sz w:val="18"/>
              </w:rPr>
              <w:t>Не указывайте мощности «по опыту» как финальные. Любое число в ТЗ должно иметь расчёт, источник или статус допущения.</w:t>
            </w:r>
          </w:p>
        </w:tc>
      </w:tr>
    </w:tbl>
    <w:p>
      <w:r>
        <w:br w:type="page"/>
      </w:r>
    </w:p>
    <w:p>
      <w:pPr>
        <w:keepNext/>
        <w:spacing w:before="0" w:after="80" w:line="276" w:lineRule="auto"/>
      </w:pPr>
      <w:r>
        <w:rPr>
          <w:rFonts w:ascii="Calibri" w:hAnsi="Calibri" w:eastAsia="Calibri"/>
          <w:b/>
          <w:i w:val="0"/>
          <w:color w:val="C8102E"/>
          <w:sz w:val="17"/>
        </w:rPr>
        <w:t>РАЗДЕЛ 07</w:t>
      </w:r>
    </w:p>
    <w:p>
      <w:pPr>
        <w:keepNext/>
        <w:spacing w:before="0" w:after="200" w:line="240" w:lineRule="auto"/>
      </w:pPr>
      <w:r>
        <w:rPr>
          <w:rFonts w:ascii="Calibri" w:hAnsi="Calibri" w:eastAsia="Calibri"/>
          <w:b/>
          <w:i w:val="0"/>
          <w:color w:val="14181F"/>
          <w:sz w:val="32"/>
        </w:rPr>
        <w:t>Цифровая среда, безопасность и эксплуатация</w:t>
      </w:r>
    </w:p>
    <w:p>
      <w:pPr>
        <w:keepNext w:val="0"/>
        <w:spacing w:before="0" w:after="200" w:line="276" w:lineRule="auto"/>
      </w:pPr>
      <w:r>
        <w:rPr>
          <w:rFonts w:ascii="Calibri" w:hAnsi="Calibri" w:eastAsia="Calibri"/>
          <w:b w:val="0"/>
          <w:i w:val="0"/>
          <w:color w:val="5E6670"/>
          <w:sz w:val="20"/>
        </w:rPr>
        <w:t>Автоматизация требует мест, кабельной инфраструктуры, интерфейсов и ответственных ещё на проектной стадии — не после отделки.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520"/>
        <w:gridCol w:w="4040"/>
        <w:gridCol w:w="4800"/>
      </w:tblGrid>
      <w:tr>
        <w:trPr>
          <w:tblHeader w:val="true"/>
          <w:cantSplit/>
        </w:trPr>
        <w:tc>
          <w:tcPr>
            <w:tcW w:type="dxa" w:w="52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Статус</w:t>
            </w:r>
          </w:p>
        </w:tc>
        <w:tc>
          <w:tcPr>
            <w:tcW w:type="dxa" w:w="404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Пункт</w:t>
            </w:r>
          </w:p>
        </w:tc>
        <w:tc>
          <w:tcPr>
            <w:tcW w:type="dxa" w:w="48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Комментарий / источник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PMS и рабочие места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Стойка, офис, удалённый доступ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RMS / CRM / channel manager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Интеграции и владельцы данных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Онлайн-оплата и кассовая инфраструктура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Каналы и точки обслуживания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Wi-Fi для гостей и служебная сеть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Разделение, покрытие, резерв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СКУД и электронные замки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Гость, персонал, сервис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Видеонаблюдение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Зоны, хранение, доступ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BMS / диспетчеризация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События, права, архив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Комната связи / серверная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Климат, питание, физический доступ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Энергомониторинг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Потребители, периодичность, отчётность</w:t>
            </w:r>
          </w:p>
        </w:tc>
      </w:tr>
    </w:tbl>
    <w:p>
      <w:pPr>
        <w:keepNext/>
        <w:spacing w:before="200" w:after="120" w:line="240" w:lineRule="auto"/>
      </w:pPr>
      <w:r>
        <w:rPr>
          <w:rFonts w:ascii="Calibri" w:hAnsi="Calibri" w:eastAsia="Calibri"/>
          <w:b/>
          <w:i w:val="0"/>
          <w:color w:val="14181F"/>
          <w:sz w:val="26"/>
        </w:rPr>
        <w:t>Эксплуатационные доступы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3100"/>
        <w:gridCol w:w="6260"/>
      </w:tblGrid>
      <w:tr>
        <w:trPr>
          <w:cantSplit/>
          <w:tblHeader w:val="true"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Замена крупного оборудования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Маршрут и габариты: 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Доступ к ревизиям и фильтрам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Зоны отключения без остановки отеля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Хранение ЗИП и расходников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Ответственный за эксплуатационную приёмку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</w:tbl>
    <w:p>
      <w:r>
        <w:br w:type="page"/>
      </w:r>
    </w:p>
    <w:p>
      <w:pPr>
        <w:keepNext/>
        <w:spacing w:before="0" w:after="80" w:line="276" w:lineRule="auto"/>
      </w:pPr>
      <w:r>
        <w:rPr>
          <w:rFonts w:ascii="Calibri" w:hAnsi="Calibri" w:eastAsia="Calibri"/>
          <w:b/>
          <w:i w:val="0"/>
          <w:color w:val="C8102E"/>
          <w:sz w:val="17"/>
        </w:rPr>
        <w:t>РАЗДЕЛ 08</w:t>
      </w:r>
    </w:p>
    <w:p>
      <w:pPr>
        <w:keepNext/>
        <w:spacing w:before="0" w:after="200" w:line="240" w:lineRule="auto"/>
      </w:pPr>
      <w:r>
        <w:rPr>
          <w:rFonts w:ascii="Calibri" w:hAnsi="Calibri" w:eastAsia="Calibri"/>
          <w:b/>
          <w:i w:val="0"/>
          <w:color w:val="14181F"/>
          <w:sz w:val="32"/>
        </w:rPr>
        <w:t>Бренд, интерьеры и оснащение</w:t>
      </w:r>
    </w:p>
    <w:p>
      <w:pPr>
        <w:keepNext w:val="0"/>
        <w:spacing w:before="0" w:after="200" w:line="276" w:lineRule="auto"/>
      </w:pPr>
      <w:r>
        <w:rPr>
          <w:rFonts w:ascii="Calibri" w:hAnsi="Calibri" w:eastAsia="Calibri"/>
          <w:b w:val="0"/>
          <w:i w:val="0"/>
          <w:color w:val="5E6670"/>
          <w:sz w:val="20"/>
        </w:rPr>
        <w:t>Каждое решение проверяется одновременно на позиционирование, стоимость владения, скорость уборки и возможность замены.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3100"/>
        <w:gridCol w:w="6260"/>
      </w:tblGrid>
      <w:tr>
        <w:trPr>
          <w:cantSplit/>
          <w:tblHeader w:val="true"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Позиционирование в одном предложении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Обещание гостю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Желаемый характер интерьера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Что исключено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Навигация и языки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</w:tbl>
    <w:p>
      <w:pPr>
        <w:keepNext/>
        <w:spacing w:before="200" w:after="120" w:line="240" w:lineRule="auto"/>
      </w:pPr>
      <w:r>
        <w:rPr>
          <w:rFonts w:ascii="Calibri" w:hAnsi="Calibri" w:eastAsia="Calibri"/>
          <w:b/>
          <w:i w:val="0"/>
          <w:color w:val="14181F"/>
          <w:sz w:val="26"/>
        </w:rPr>
        <w:t>FF&amp;E / OS&amp;E: критерии решения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1710"/>
        <w:gridCol w:w="3100"/>
        <w:gridCol w:w="2250"/>
        <w:gridCol w:w="2300"/>
      </w:tblGrid>
      <w:tr>
        <w:trPr>
          <w:tblHeader w:val="true"/>
          <w:cantSplit/>
        </w:trPr>
        <w:tc>
          <w:tcPr>
            <w:tcW w:type="dxa" w:w="171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Группа</w:t>
            </w:r>
          </w:p>
        </w:tc>
        <w:tc>
          <w:tcPr>
            <w:tcW w:type="dxa" w:w="31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Требование</w:t>
            </w:r>
          </w:p>
        </w:tc>
        <w:tc>
          <w:tcPr>
            <w:tcW w:type="dxa" w:w="225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Подтверждение</w:t>
            </w:r>
          </w:p>
        </w:tc>
        <w:tc>
          <w:tcPr>
            <w:tcW w:type="dxa" w:w="23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Замена / сервис</w:t>
            </w:r>
          </w:p>
        </w:tc>
      </w:tr>
      <w:tr>
        <w:trPr>
          <w:cantSplit/>
        </w:trPr>
        <w:tc>
          <w:tcPr>
            <w:tcW w:type="dxa" w:w="17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Мебель</w:t>
            </w:r>
          </w:p>
        </w:tc>
        <w:tc>
          <w:tcPr>
            <w:tcW w:type="dxa" w:w="3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Износостойкость, ремонтопригодность</w:t>
            </w:r>
          </w:p>
        </w:tc>
        <w:tc>
          <w:tcPr>
            <w:tcW w:type="dxa" w:w="22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Образец / гарантия</w:t>
            </w:r>
          </w:p>
        </w:tc>
        <w:tc>
          <w:tcPr>
            <w:tcW w:type="dxa" w:w="23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71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Отделочные материалы</w:t>
            </w:r>
          </w:p>
        </w:tc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Уборка, пожарные и иные требования</w:t>
            </w:r>
          </w:p>
        </w:tc>
        <w:tc>
          <w:tcPr>
            <w:tcW w:type="dxa" w:w="22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Сертификат / тест</w:t>
            </w:r>
          </w:p>
        </w:tc>
        <w:tc>
          <w:tcPr>
            <w:tcW w:type="dxa" w:w="23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7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Сантехника</w:t>
            </w:r>
          </w:p>
        </w:tc>
        <w:tc>
          <w:tcPr>
            <w:tcW w:type="dxa" w:w="3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Ресурс, расход, доступ к узлам</w:t>
            </w:r>
          </w:p>
        </w:tc>
        <w:tc>
          <w:tcPr>
            <w:tcW w:type="dxa" w:w="22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Спецификация</w:t>
            </w:r>
          </w:p>
        </w:tc>
        <w:tc>
          <w:tcPr>
            <w:tcW w:type="dxa" w:w="23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71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Свет</w:t>
            </w:r>
          </w:p>
        </w:tc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Сценарии, комфорт, сервис</w:t>
            </w:r>
          </w:p>
        </w:tc>
        <w:tc>
          <w:tcPr>
            <w:tcW w:type="dxa" w:w="22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Расчёт / макет</w:t>
            </w:r>
          </w:p>
        </w:tc>
        <w:tc>
          <w:tcPr>
            <w:tcW w:type="dxa" w:w="23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7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Текстиль</w:t>
            </w:r>
          </w:p>
        </w:tc>
        <w:tc>
          <w:tcPr>
            <w:tcW w:type="dxa" w:w="3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Циклы стирки и логистика</w:t>
            </w:r>
          </w:p>
        </w:tc>
        <w:tc>
          <w:tcPr>
            <w:tcW w:type="dxa" w:w="22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Тест / паспорт</w:t>
            </w:r>
          </w:p>
        </w:tc>
        <w:tc>
          <w:tcPr>
            <w:tcW w:type="dxa" w:w="23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71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Оборудование</w:t>
            </w:r>
          </w:p>
        </w:tc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Нагрузка и стоимость владения</w:t>
            </w:r>
          </w:p>
        </w:tc>
        <w:tc>
          <w:tcPr>
            <w:tcW w:type="dxa" w:w="22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TCO / сервис</w:t>
            </w:r>
          </w:p>
        </w:tc>
        <w:tc>
          <w:tcPr>
            <w:tcW w:type="dxa" w:w="23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7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Навигация</w:t>
            </w:r>
          </w:p>
        </w:tc>
        <w:tc>
          <w:tcPr>
            <w:tcW w:type="dxa" w:w="3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Понятность и доступность</w:t>
            </w:r>
          </w:p>
        </w:tc>
        <w:tc>
          <w:tcPr>
            <w:tcW w:type="dxa" w:w="22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Прототип</w:t>
            </w:r>
          </w:p>
        </w:tc>
        <w:tc>
          <w:tcPr>
            <w:tcW w:type="dxa" w:w="23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</w:tbl>
    <w:p>
      <w:r>
        <w:br w:type="page"/>
      </w:r>
    </w:p>
    <w:p>
      <w:pPr>
        <w:keepNext/>
        <w:spacing w:before="0" w:after="80" w:line="276" w:lineRule="auto"/>
      </w:pPr>
      <w:r>
        <w:rPr>
          <w:rFonts w:ascii="Calibri" w:hAnsi="Calibri" w:eastAsia="Calibri"/>
          <w:b/>
          <w:i w:val="0"/>
          <w:color w:val="C8102E"/>
          <w:sz w:val="17"/>
        </w:rPr>
        <w:t>РАЗДЕЛ 09</w:t>
      </w:r>
    </w:p>
    <w:p>
      <w:pPr>
        <w:keepNext/>
        <w:spacing w:before="0" w:after="200" w:line="240" w:lineRule="auto"/>
      </w:pPr>
      <w:r>
        <w:rPr>
          <w:rFonts w:ascii="Calibri" w:hAnsi="Calibri" w:eastAsia="Calibri"/>
          <w:b/>
          <w:i w:val="0"/>
          <w:color w:val="14181F"/>
          <w:sz w:val="32"/>
        </w:rPr>
        <w:t>Состав выдачи и границы ответственности</w:t>
      </w:r>
    </w:p>
    <w:p>
      <w:pPr>
        <w:keepNext w:val="0"/>
        <w:spacing w:before="0" w:after="200" w:line="276" w:lineRule="auto"/>
      </w:pPr>
      <w:r>
        <w:rPr>
          <w:rFonts w:ascii="Calibri" w:hAnsi="Calibri" w:eastAsia="Calibri"/>
          <w:b w:val="0"/>
          <w:i w:val="0"/>
          <w:color w:val="5E6670"/>
          <w:sz w:val="20"/>
        </w:rPr>
        <w:t>Перечень документов и стадий закрепляется договором. Таблица ниже помогает не смешивать операторские требования с проектной документацией.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2920"/>
        <w:gridCol w:w="2360"/>
        <w:gridCol w:w="2400"/>
        <w:gridCol w:w="1680"/>
      </w:tblGrid>
      <w:tr>
        <w:trPr>
          <w:tblHeader w:val="true"/>
          <w:cantSplit/>
        </w:trPr>
        <w:tc>
          <w:tcPr>
            <w:tcW w:type="dxa" w:w="292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Результат</w:t>
            </w:r>
          </w:p>
        </w:tc>
        <w:tc>
          <w:tcPr>
            <w:tcW w:type="dxa" w:w="236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Готовит</w:t>
            </w:r>
          </w:p>
        </w:tc>
        <w:tc>
          <w:tcPr>
            <w:tcW w:type="dxa" w:w="24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Проверяет</w:t>
            </w:r>
          </w:p>
        </w:tc>
        <w:tc>
          <w:tcPr>
            <w:tcW w:type="dxa" w:w="168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Формат / версия</w:t>
            </w:r>
          </w:p>
        </w:tc>
      </w:tr>
      <w:tr>
        <w:trPr>
          <w:cantSplit/>
        </w:trPr>
        <w:tc>
          <w:tcPr>
            <w:tcW w:type="dxa" w:w="29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Гостиничная концепция и позиционирование</w:t>
            </w:r>
          </w:p>
        </w:tc>
        <w:tc>
          <w:tcPr>
            <w:tcW w:type="dxa" w:w="23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Оператор / консультант</w:t>
            </w:r>
          </w:p>
        </w:tc>
        <w:tc>
          <w:tcPr>
            <w:tcW w:type="dxa" w:w="24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Заказчик</w:t>
            </w:r>
          </w:p>
        </w:tc>
        <w:tc>
          <w:tcPr>
            <w:tcW w:type="dxa" w:w="1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Документ / дата</w:t>
            </w:r>
          </w:p>
        </w:tc>
      </w:tr>
      <w:tr>
        <w:trPr>
          <w:cantSplit/>
        </w:trPr>
        <w:tc>
          <w:tcPr>
            <w:tcW w:type="dxa" w:w="292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Функциональная программа</w:t>
            </w:r>
          </w:p>
        </w:tc>
        <w:tc>
          <w:tcPr>
            <w:tcW w:type="dxa" w:w="23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Оператор + архитектор</w:t>
            </w:r>
          </w:p>
        </w:tc>
        <w:tc>
          <w:tcPr>
            <w:tcW w:type="dxa" w:w="24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Заказчик</w:t>
            </w:r>
          </w:p>
        </w:tc>
        <w:tc>
          <w:tcPr>
            <w:tcW w:type="dxa" w:w="16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Таблица / планы</w:t>
            </w:r>
          </w:p>
        </w:tc>
      </w:tr>
      <w:tr>
        <w:trPr>
          <w:cantSplit/>
        </w:trPr>
        <w:tc>
          <w:tcPr>
            <w:tcW w:type="dxa" w:w="29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Операторское ТЗ</w:t>
            </w:r>
          </w:p>
        </w:tc>
        <w:tc>
          <w:tcPr>
            <w:tcW w:type="dxa" w:w="23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Оператор</w:t>
            </w:r>
          </w:p>
        </w:tc>
        <w:tc>
          <w:tcPr>
            <w:tcW w:type="dxa" w:w="24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Заказчик + проектировщик</w:t>
            </w:r>
          </w:p>
        </w:tc>
        <w:tc>
          <w:tcPr>
            <w:tcW w:type="dxa" w:w="1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Настоящий документ</w:t>
            </w:r>
          </w:p>
        </w:tc>
      </w:tr>
      <w:tr>
        <w:trPr>
          <w:cantSplit/>
        </w:trPr>
        <w:tc>
          <w:tcPr>
            <w:tcW w:type="dxa" w:w="292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Архитектурные решения</w:t>
            </w:r>
          </w:p>
        </w:tc>
        <w:tc>
          <w:tcPr>
            <w:tcW w:type="dxa" w:w="23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Проектная организация</w:t>
            </w:r>
          </w:p>
        </w:tc>
        <w:tc>
          <w:tcPr>
            <w:tcW w:type="dxa" w:w="24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Заказчик + оператор</w:t>
            </w:r>
          </w:p>
        </w:tc>
        <w:tc>
          <w:tcPr>
            <w:tcW w:type="dxa" w:w="16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По договору</w:t>
            </w:r>
          </w:p>
        </w:tc>
      </w:tr>
      <w:tr>
        <w:trPr>
          <w:cantSplit/>
        </w:trPr>
        <w:tc>
          <w:tcPr>
            <w:tcW w:type="dxa" w:w="29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Инженерные разделы и расчёты</w:t>
            </w:r>
          </w:p>
        </w:tc>
        <w:tc>
          <w:tcPr>
            <w:tcW w:type="dxa" w:w="23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Проектная организация</w:t>
            </w:r>
          </w:p>
        </w:tc>
        <w:tc>
          <w:tcPr>
            <w:tcW w:type="dxa" w:w="24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Профильные специалисты</w:t>
            </w:r>
          </w:p>
        </w:tc>
        <w:tc>
          <w:tcPr>
            <w:tcW w:type="dxa" w:w="1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По договору</w:t>
            </w:r>
          </w:p>
        </w:tc>
      </w:tr>
      <w:tr>
        <w:trPr>
          <w:cantSplit/>
        </w:trPr>
        <w:tc>
          <w:tcPr>
            <w:tcW w:type="dxa" w:w="292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Дизайн-проект</w:t>
            </w:r>
          </w:p>
        </w:tc>
        <w:tc>
          <w:tcPr>
            <w:tcW w:type="dxa" w:w="23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Дизайнер / проектировщик</w:t>
            </w:r>
          </w:p>
        </w:tc>
        <w:tc>
          <w:tcPr>
            <w:tcW w:type="dxa" w:w="24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Заказчик + оператор</w:t>
            </w:r>
          </w:p>
        </w:tc>
        <w:tc>
          <w:tcPr>
            <w:tcW w:type="dxa" w:w="16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По договору</w:t>
            </w:r>
          </w:p>
        </w:tc>
      </w:tr>
      <w:tr>
        <w:trPr>
          <w:cantSplit/>
        </w:trPr>
        <w:tc>
          <w:tcPr>
            <w:tcW w:type="dxa" w:w="29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FF&amp;E / OS&amp;E спецификации</w:t>
            </w:r>
          </w:p>
        </w:tc>
        <w:tc>
          <w:tcPr>
            <w:tcW w:type="dxa" w:w="23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Проектировщик + оператор</w:t>
            </w:r>
          </w:p>
        </w:tc>
        <w:tc>
          <w:tcPr>
            <w:tcW w:type="dxa" w:w="24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Заказчик</w:t>
            </w:r>
          </w:p>
        </w:tc>
        <w:tc>
          <w:tcPr>
            <w:tcW w:type="dxa" w:w="1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Ведомости</w:t>
            </w:r>
          </w:p>
        </w:tc>
      </w:tr>
      <w:tr>
        <w:trPr>
          <w:cantSplit/>
        </w:trPr>
        <w:tc>
          <w:tcPr>
            <w:tcW w:type="dxa" w:w="292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Смета и график</w:t>
            </w:r>
          </w:p>
        </w:tc>
        <w:tc>
          <w:tcPr>
            <w:tcW w:type="dxa" w:w="23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Назначенные исполнители</w:t>
            </w:r>
          </w:p>
        </w:tc>
        <w:tc>
          <w:tcPr>
            <w:tcW w:type="dxa" w:w="24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Заказчик</w:t>
            </w:r>
          </w:p>
        </w:tc>
        <w:tc>
          <w:tcPr>
            <w:tcW w:type="dxa" w:w="16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Версия / дата</w:t>
            </w:r>
          </w:p>
        </w:tc>
      </w:tr>
    </w:tbl>
    <w:p>
      <w:pPr>
        <w:keepNext/>
        <w:spacing w:before="200" w:after="120" w:line="240" w:lineRule="auto"/>
      </w:pPr>
      <w:r>
        <w:rPr>
          <w:rFonts w:ascii="Calibri" w:hAnsi="Calibri" w:eastAsia="Calibri"/>
          <w:b/>
          <w:i w:val="0"/>
          <w:color w:val="14181F"/>
          <w:sz w:val="26"/>
        </w:rPr>
        <w:t>Разведение с «готовым проектом гостиницы»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468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Операторское ТЗ</w:t>
            </w:r>
          </w:p>
        </w:tc>
        <w:tc>
          <w:tcPr>
            <w:tcW w:type="dxa" w:w="468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Проект здания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7"/>
              </w:rPr>
              <w:t>Отвечает, какой отель нужен рынку и как он должен работать</w:t>
            </w:r>
          </w:p>
        </w:tc>
        <w:tc>
          <w:tcPr>
            <w:tcW w:type="dxa" w:w="4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Отвечает, как объект будет спроектирован и построен</w:t>
            </w:r>
          </w:p>
        </w:tc>
      </w:tr>
      <w:tr>
        <w:trPr>
          <w:cantSplit/>
        </w:trPr>
        <w:tc>
          <w:tcPr>
            <w:tcW w:type="dxa" w:w="46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7"/>
              </w:rPr>
              <w:t>Фиксирует номерной фонд, функции, потоки и эксплуатационные режимы</w:t>
            </w:r>
          </w:p>
        </w:tc>
        <w:tc>
          <w:tcPr>
            <w:tcW w:type="dxa" w:w="46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Содержит чертежи, расчёты, разделы и спецификации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7"/>
              </w:rPr>
              <w:t>Служит входом и критерием проверки для проектировщиков</w:t>
            </w:r>
          </w:p>
        </w:tc>
        <w:tc>
          <w:tcPr>
            <w:tcW w:type="dxa" w:w="4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Разрабатывается для конкретного участка, здания и исходных данных</w:t>
            </w:r>
          </w:p>
        </w:tc>
      </w:tr>
      <w:tr>
        <w:trPr>
          <w:cantSplit/>
        </w:trPr>
        <w:tc>
          <w:tcPr>
            <w:tcW w:type="dxa" w:w="46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7"/>
              </w:rPr>
              <w:t>Не заменяет нормы, расчёты и экспертизу</w:t>
            </w:r>
          </w:p>
        </w:tc>
        <w:tc>
          <w:tcPr>
            <w:tcW w:type="dxa" w:w="46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Не должен копироваться с другого объекта без проверки применимости</w:t>
            </w:r>
          </w:p>
        </w:tc>
      </w:tr>
    </w:tbl>
    <w:p>
      <w:r>
        <w:br w:type="page"/>
      </w:r>
    </w:p>
    <w:p>
      <w:pPr>
        <w:keepNext/>
        <w:spacing w:before="0" w:after="80" w:line="276" w:lineRule="auto"/>
      </w:pPr>
      <w:r>
        <w:rPr>
          <w:rFonts w:ascii="Calibri" w:hAnsi="Calibri" w:eastAsia="Calibri"/>
          <w:b/>
          <w:i w:val="0"/>
          <w:color w:val="C8102E"/>
          <w:sz w:val="17"/>
        </w:rPr>
        <w:t>РАЗДЕЛ 10</w:t>
      </w:r>
    </w:p>
    <w:p>
      <w:pPr>
        <w:keepNext/>
        <w:spacing w:before="0" w:after="200" w:line="240" w:lineRule="auto"/>
      </w:pPr>
      <w:r>
        <w:rPr>
          <w:rFonts w:ascii="Calibri" w:hAnsi="Calibri" w:eastAsia="Calibri"/>
          <w:b/>
          <w:i w:val="0"/>
          <w:color w:val="14181F"/>
          <w:sz w:val="32"/>
        </w:rPr>
        <w:t>Приёмка, решения и изменения</w:t>
      </w:r>
    </w:p>
    <w:p>
      <w:pPr>
        <w:keepNext w:val="0"/>
        <w:spacing w:before="0" w:after="200" w:line="276" w:lineRule="auto"/>
      </w:pPr>
      <w:r>
        <w:rPr>
          <w:rFonts w:ascii="Calibri" w:hAnsi="Calibri" w:eastAsia="Calibri"/>
          <w:b w:val="0"/>
          <w:i w:val="0"/>
          <w:color w:val="5E6670"/>
          <w:sz w:val="20"/>
        </w:rPr>
        <w:t>Приёмка должна отвечать на вопрос «как доказано соответствие», а не «нравится ли решение». Все изменения после согласования фиксируются.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2100"/>
        <w:gridCol w:w="3050"/>
        <w:gridCol w:w="2860"/>
        <w:gridCol w:w="1350"/>
      </w:tblGrid>
      <w:tr>
        <w:trPr>
          <w:tblHeader w:val="true"/>
          <w:cantSplit/>
        </w:trPr>
        <w:tc>
          <w:tcPr>
            <w:tcW w:type="dxa" w:w="21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Контрольная точка</w:t>
            </w:r>
          </w:p>
        </w:tc>
        <w:tc>
          <w:tcPr>
            <w:tcW w:type="dxa" w:w="305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Критерий</w:t>
            </w:r>
          </w:p>
        </w:tc>
        <w:tc>
          <w:tcPr>
            <w:tcW w:type="dxa" w:w="286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Доказательство</w:t>
            </w:r>
          </w:p>
        </w:tc>
        <w:tc>
          <w:tcPr>
            <w:tcW w:type="dxa" w:w="135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Статус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Концепция</w:t>
            </w:r>
          </w:p>
        </w:tc>
        <w:tc>
          <w:tcPr>
            <w:tcW w:type="dxa" w:w="30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Соответствует рынку и цели</w:t>
            </w:r>
          </w:p>
        </w:tc>
        <w:tc>
          <w:tcPr>
            <w:tcW w:type="dxa" w:w="28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Исследование / протокол</w:t>
            </w:r>
          </w:p>
        </w:tc>
        <w:tc>
          <w:tcPr>
            <w:tcW w:type="dxa" w:w="13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☐ / ☐ / ☐</w:t>
            </w:r>
          </w:p>
        </w:tc>
      </w:tr>
      <w:tr>
        <w:trPr>
          <w:cantSplit/>
        </w:trPr>
        <w:tc>
          <w:tcPr>
            <w:tcW w:type="dxa" w:w="2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Номерной фонд</w:t>
            </w:r>
          </w:p>
        </w:tc>
        <w:tc>
          <w:tcPr>
            <w:tcW w:type="dxa" w:w="30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Сходится программа и экономика</w:t>
            </w:r>
          </w:p>
        </w:tc>
        <w:tc>
          <w:tcPr>
            <w:tcW w:type="dxa" w:w="28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Таблица / модель</w:t>
            </w:r>
          </w:p>
        </w:tc>
        <w:tc>
          <w:tcPr>
            <w:tcW w:type="dxa" w:w="13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☐ / ☐ / ☐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Потоки</w:t>
            </w:r>
          </w:p>
        </w:tc>
        <w:tc>
          <w:tcPr>
            <w:tcW w:type="dxa" w:w="30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Нет критичных пересечений</w:t>
            </w:r>
          </w:p>
        </w:tc>
        <w:tc>
          <w:tcPr>
            <w:tcW w:type="dxa" w:w="28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Схемы / сценарии</w:t>
            </w:r>
          </w:p>
        </w:tc>
        <w:tc>
          <w:tcPr>
            <w:tcW w:type="dxa" w:w="13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☐ / ☐ / ☐</w:t>
            </w:r>
          </w:p>
        </w:tc>
      </w:tr>
      <w:tr>
        <w:trPr>
          <w:cantSplit/>
        </w:trPr>
        <w:tc>
          <w:tcPr>
            <w:tcW w:type="dxa" w:w="2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Инженерия</w:t>
            </w:r>
          </w:p>
        </w:tc>
        <w:tc>
          <w:tcPr>
            <w:tcW w:type="dxa" w:w="30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Режимы подтверждены расчётами</w:t>
            </w:r>
          </w:p>
        </w:tc>
        <w:tc>
          <w:tcPr>
            <w:tcW w:type="dxa" w:w="28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Расчёты / ТУ</w:t>
            </w:r>
          </w:p>
        </w:tc>
        <w:tc>
          <w:tcPr>
            <w:tcW w:type="dxa" w:w="13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☐ / ☐ / ☐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Эксплуатация</w:t>
            </w:r>
          </w:p>
        </w:tc>
        <w:tc>
          <w:tcPr>
            <w:tcW w:type="dxa" w:w="30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Есть доступы и сервисные маршруты</w:t>
            </w:r>
          </w:p>
        </w:tc>
        <w:tc>
          <w:tcPr>
            <w:tcW w:type="dxa" w:w="28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Планы / чек-лист</w:t>
            </w:r>
          </w:p>
        </w:tc>
        <w:tc>
          <w:tcPr>
            <w:tcW w:type="dxa" w:w="13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☐ / ☐ / ☐</w:t>
            </w:r>
          </w:p>
        </w:tc>
      </w:tr>
      <w:tr>
        <w:trPr>
          <w:cantSplit/>
        </w:trPr>
        <w:tc>
          <w:tcPr>
            <w:tcW w:type="dxa" w:w="2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Оснащение</w:t>
            </w:r>
          </w:p>
        </w:tc>
        <w:tc>
          <w:tcPr>
            <w:tcW w:type="dxa" w:w="30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Подтверждён ресурс и TCO</w:t>
            </w:r>
          </w:p>
        </w:tc>
        <w:tc>
          <w:tcPr>
            <w:tcW w:type="dxa" w:w="28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Спецификации / образцы</w:t>
            </w:r>
          </w:p>
        </w:tc>
        <w:tc>
          <w:tcPr>
            <w:tcW w:type="dxa" w:w="13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☐ / ☐ / ☐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Цифровые системы</w:t>
            </w:r>
          </w:p>
        </w:tc>
        <w:tc>
          <w:tcPr>
            <w:tcW w:type="dxa" w:w="30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Интеграции и инфраструктура определены</w:t>
            </w:r>
          </w:p>
        </w:tc>
        <w:tc>
          <w:tcPr>
            <w:tcW w:type="dxa" w:w="28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Схема / матрица</w:t>
            </w:r>
          </w:p>
        </w:tc>
        <w:tc>
          <w:tcPr>
            <w:tcW w:type="dxa" w:w="13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☐ / ☐ / ☐</w:t>
            </w:r>
          </w:p>
        </w:tc>
      </w:tr>
    </w:tbl>
    <w:p>
      <w:pPr>
        <w:keepNext w:val="0"/>
        <w:spacing w:before="0" w:after="160" w:line="276" w:lineRule="auto"/>
      </w:pPr>
      <w:r>
        <w:rPr>
          <w:rFonts w:ascii="Calibri" w:hAnsi="Calibri" w:eastAsia="Calibri"/>
          <w:b w:val="0"/>
          <w:i w:val="0"/>
          <w:color w:val="5E6670"/>
          <w:sz w:val="17"/>
        </w:rPr>
        <w:t>Статус: ☐ принято  ☐ доработать  ☐ не применимо</w:t>
      </w:r>
    </w:p>
    <w:p>
      <w:pPr>
        <w:keepNext/>
        <w:spacing w:before="200" w:after="120" w:line="240" w:lineRule="auto"/>
      </w:pPr>
      <w:r>
        <w:rPr>
          <w:rFonts w:ascii="Calibri" w:hAnsi="Calibri" w:eastAsia="Calibri"/>
          <w:b/>
          <w:i w:val="0"/>
          <w:color w:val="14181F"/>
          <w:sz w:val="26"/>
        </w:rPr>
        <w:t>Журнал решений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1200"/>
        <w:gridCol w:w="3000"/>
        <w:gridCol w:w="3200"/>
        <w:gridCol w:w="1960"/>
      </w:tblGrid>
      <w:tr>
        <w:trPr>
          <w:tblHeader w:val="true"/>
          <w:cantSplit/>
        </w:trPr>
        <w:tc>
          <w:tcPr>
            <w:tcW w:type="dxa" w:w="12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Дата</w:t>
            </w:r>
          </w:p>
        </w:tc>
        <w:tc>
          <w:tcPr>
            <w:tcW w:type="dxa" w:w="30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Решение / изменение</w:t>
            </w:r>
          </w:p>
        </w:tc>
        <w:tc>
          <w:tcPr>
            <w:tcW w:type="dxa" w:w="32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Причина и влияние</w:t>
            </w:r>
          </w:p>
        </w:tc>
        <w:tc>
          <w:tcPr>
            <w:tcW w:type="dxa" w:w="196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Кто утвердил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________</w:t>
            </w:r>
          </w:p>
        </w:tc>
        <w:tc>
          <w:tcPr>
            <w:tcW w:type="dxa" w:w="3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3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19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2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________</w:t>
            </w:r>
          </w:p>
        </w:tc>
        <w:tc>
          <w:tcPr>
            <w:tcW w:type="dxa" w:w="30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32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19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________</w:t>
            </w:r>
          </w:p>
        </w:tc>
        <w:tc>
          <w:tcPr>
            <w:tcW w:type="dxa" w:w="3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3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19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210"/>
        <w:gridCol w:w="9150"/>
      </w:tblGrid>
      <w:tr>
        <w:trPr>
          <w:cantSplit/>
          <w:tblHeader w:val="true"/>
        </w:trPr>
        <w:tc>
          <w:tcPr>
            <w:tcW w:type="dxa" w:w="2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  <w:shd w:fill="C8102E"/>
          </w:tcPr>
          <w:p>
            <w:r/>
          </w:p>
        </w:tc>
        <w:tc>
          <w:tcPr>
            <w:tcW w:type="dxa" w:w="91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  <w:shd w:fill="F7E7EA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4181F"/>
                <w:sz w:val="18"/>
              </w:rPr>
              <w:t>Перед выпуском в работу назначьте владельца документа, зафиксируйте версию и приложите перечень актуальных исходных файлов.</w:t>
            </w:r>
          </w:p>
        </w:tc>
      </w:tr>
    </w:tbl>
    <w:p>
      <w:pPr>
        <w:keepNext w:val="0"/>
        <w:spacing w:before="180" w:after="60" w:line="276" w:lineRule="auto"/>
      </w:pPr>
      <w:r>
        <w:rPr>
          <w:rFonts w:ascii="Calibri" w:hAnsi="Calibri" w:eastAsia="Calibri"/>
          <w:b/>
          <w:i w:val="0"/>
          <w:color w:val="14181F"/>
          <w:sz w:val="19"/>
        </w:rPr>
        <w:t>Правовая и техническая оговорка</w:t>
      </w:r>
    </w:p>
    <w:p>
      <w:pPr>
        <w:keepNext w:val="0"/>
        <w:spacing w:before="0" w:after="0" w:line="276" w:lineRule="auto"/>
      </w:pPr>
      <w:r>
        <w:rPr>
          <w:rFonts w:ascii="Calibri" w:hAnsi="Calibri" w:eastAsia="Calibri"/>
          <w:b w:val="0"/>
          <w:i w:val="0"/>
          <w:color w:val="5E6670"/>
          <w:sz w:val="16"/>
        </w:rPr>
        <w:t>Шаблон носит информационный характер и не является юридическим, градостроительным, архитектурным или инженерным заключением. Состав проектной документации, применимые нормы, согласования и расчёты определяются для конкретного объекта действующим законодательством, договором и квалифицированными специалистами.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930" w:right="1440" w:bottom="1037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76" w:lineRule="auto"/>
      <w:jc w:val="center"/>
    </w:pPr>
    <w:r>
      <w:rPr>
        <w:rFonts w:ascii="Calibri" w:hAnsi="Calibri" w:eastAsia="Calibri"/>
        <w:b w:val="0"/>
        <w:i w:val="0"/>
        <w:color w:val="5E6670"/>
        <w:sz w:val="16"/>
      </w:rPr>
      <w:t xml:space="preserve">rprojekt.ru  ·  ТЗ на проектирование отеля  ·  </w:t>
    </w:r>
    <w:r>
      <w:rPr>
        <w:rFonts w:ascii="Calibri" w:hAnsi="Calibri" w:eastAsia="Calibri"/>
        <w:b w:val="0"/>
        <w:i w:val="0"/>
        <w:color w:val="5E6670"/>
        <w:sz w:val="16"/>
      </w:rPr>
      <w:fldChar w:fldCharType="begin"/>
      <w:instrText xml:space="preserve"> PAGE 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76" w:lineRule="auto"/>
      <w:jc w:val="center"/>
    </w:pPr>
    <w:r>
      <w:rPr>
        <w:rFonts w:ascii="Calibri" w:hAnsi="Calibri" w:eastAsia="Calibri"/>
        <w:b/>
        <w:i w:val="0"/>
        <w:color w:val="C8102E"/>
        <w:sz w:val="16"/>
      </w:rPr>
      <w:t>RAIDO PROJEKT  ·  РАБОЧИЙ ШАБЛОН  ·  V1.0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 w:eastAsia="Calibri"/>
      <w:color w:val="14181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проектирование отеля</dc:title>
  <dc:subject>Рабочий шаблон для собственника, оператора и проектной команды</dc:subject>
  <dc:creator>Raido Projekt</dc:creator>
  <cp:keywords>отель, гостиница, проектирование, техническое задание, функциональная программа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