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</w:pPr>
      <w:r>
        <w:rPr>
          <w:rFonts w:ascii="Arial" w:hAnsi="Arial" w:eastAsia="Arial"/>
          <w:b/>
          <w:i w:val="0"/>
          <w:color w:val="C8102E"/>
          <w:sz w:val="18"/>
        </w:rPr>
        <w:t>ИНВЕСТОРУ И ДЕВЕЛОПЕРУ</w:t>
      </w:r>
    </w:p>
    <w:p>
      <w:pPr>
        <w:spacing w:after="160"/>
      </w:pPr>
      <w:r>
        <w:rPr>
          <w:rFonts w:ascii="Arial" w:hAnsi="Arial" w:eastAsia="Arial"/>
          <w:b/>
          <w:i w:val="0"/>
          <w:color w:val="14181F"/>
          <w:sz w:val="52"/>
        </w:rPr>
        <w:t>Шаблон бизнес-плана гостиницы для банка</w:t>
      </w:r>
    </w:p>
    <w:p>
      <w:pPr>
        <w:spacing w:after="360"/>
      </w:pPr>
      <w:r>
        <w:rPr>
          <w:rFonts w:ascii="Arial" w:hAnsi="Arial" w:eastAsia="Arial"/>
          <w:b w:val="0"/>
          <w:i w:val="0"/>
          <w:color w:val="656E7B"/>
          <w:sz w:val="26"/>
        </w:rPr>
        <w:t>Структура документа, поля для заполнения и контроль комплектности проекта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17"/>
              </w:rPr>
              <w:t>Формат</w:t>
              <w:br/>
            </w:r>
            <w:r>
              <w:rPr>
                <w:rFonts w:ascii="Arial" w:hAnsi="Arial" w:eastAsia="Arial"/>
                <w:b/>
                <w:i w:val="0"/>
                <w:color w:val="14181F"/>
                <w:sz w:val="21"/>
              </w:rPr>
              <w:t>редактируемый DOCX</w:t>
            </w:r>
          </w:p>
        </w:tc>
        <w:tc>
          <w:tcPr>
            <w:tcW w:type="dxa" w:w="46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17"/>
              </w:rPr>
              <w:t>Версия</w:t>
              <w:br/>
            </w:r>
            <w:r>
              <w:rPr>
                <w:rFonts w:ascii="Arial" w:hAnsi="Arial" w:eastAsia="Arial"/>
                <w:b/>
                <w:i w:val="0"/>
                <w:color w:val="14181F"/>
                <w:sz w:val="21"/>
              </w:rPr>
              <w:t>30 июля 2026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F7F8FA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1"/>
              </w:rPr>
              <w:t xml:space="preserve">Как использовать.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21"/>
              </w:rPr>
              <w:t>Сначала заполните паспорт и резюме, затем приложите расчёты из финансовой модели. Не удаляйте слабые места: обозначьте способ проверки, владельца действия и срок. Перед подачей сверьте состав с актуальным чек-листом конкретного банка.</w:t>
            </w:r>
          </w:p>
        </w:tc>
      </w:tr>
    </w:tbl>
    <w:p>
      <w:pPr>
        <w:spacing w:after="0"/>
      </w:pPr>
    </w:p>
    <w:p>
      <w:r>
        <w:rPr>
          <w:rFonts w:ascii="Arial" w:hAnsi="Arial" w:eastAsia="Arial"/>
          <w:b w:val="0"/>
          <w:i w:val="0"/>
          <w:color w:val="3C4450"/>
          <w:sz w:val="21"/>
        </w:rPr>
        <w:t>Этот файл не является обещанием финансирования, оценкой кредитоспособности или универсальной формой банка. Требования к заёмщику, обеспечению, ковенантам, модели и документам определяет выбранный кредитор на дату рассмотрения.</w:t>
      </w:r>
    </w:p>
    <w:p>
      <w:r>
        <w:br w:type="page"/>
      </w:r>
    </w:p>
    <w:p>
      <w:pPr>
        <w:pStyle w:val="Heading1"/>
      </w:pPr>
      <w:r>
        <w:t>1. Паспорт проекта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Проект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Рабочее название / юридическое название проекта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Адрес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Адрес, кадастровые номера участка и объекта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Заёмщик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Юрлицо, ИНН, группа компаний, конечные бенефициары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Стадия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Идея / права / проектирование / стройка / запуск / действующий объект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Формат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Отель / апарт-отель / база отдыха / иной подтверждённый формат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Масштаб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Номерной фонд, площадь, этажность, ключевые функции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Бюджет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CAPEX без НДС / с НДС, резерв, уже понесённые затраты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Финансирование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Собственные средства, кредит, иные источники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Оператор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Выбран / short-list / не выбран; роль и форма договора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Контакт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Ответственный за пакет, телефон, email, версия документа</w:t>
            </w:r>
          </w:p>
        </w:tc>
      </w:tr>
    </w:tbl>
    <w:p>
      <w:pPr>
        <w:spacing w:after="0"/>
      </w:pPr>
    </w:p>
    <w:p>
      <w:pPr>
        <w:pStyle w:val="Heading1"/>
      </w:pPr>
      <w:r>
        <w:t>2. Резюме для кредитного комитета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Инвестиционная гипотеза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Почему этот объект, формат и локация способны создать денежный поток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Источник погашения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Какой денежный поток обслуживает долг; когда он возникает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Потребность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Сумма, валюта, срок, график выборки, льготный период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Собственное участие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Сумма, доля, форма, подтверждение наличия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Ключевые показатели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Загрузка, ADR, выручка, EBITDA/NOI, DSCR, срок возврата - по сценариям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Защита downside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Резерв, этапность, фиксированные договоры, гарантии, дополнительные источники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Решение сейчас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Что именно требуется от банка на текущей стадии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F7F8FA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1"/>
              </w:rPr>
              <w:t xml:space="preserve">Правило резюме.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21"/>
              </w:rPr>
              <w:t>Каждое число должно ссылаться на лист и ячейку модели либо на приложение. Если число пока не подтверждено, укажите статус допущения и дату проверки.</w:t>
            </w:r>
          </w:p>
        </w:tc>
      </w:tr>
    </w:tbl>
    <w:p>
      <w:pPr>
        <w:spacing w:after="0"/>
      </w:pPr>
    </w:p>
    <w:p>
      <w:pPr>
        <w:pStyle w:val="Heading1"/>
      </w:pPr>
      <w:r>
        <w:t>3. Заёмщик, структура владения и команда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Структура группы и бенефициары раскрыты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Схема владения, доли, связанные компании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Роль проектной компании определена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Права на актив, договоры, денежные потоки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История бизнеса и отчётность приложены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Периоды, аудит, управленческий контур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Источники собственных средств подтверждены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Выписки, решения участников, график внесения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Команда проекта названа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Девелопмент, финансы, стройка, продажи, эксплуатация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Конфликты интересов и связанные сделки раскрыты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Подрядчики/арендодатели/оператор внутри группы</w:t>
            </w:r>
          </w:p>
        </w:tc>
      </w:tr>
    </w:tbl>
    <w:p>
      <w:pPr>
        <w:spacing w:after="0"/>
      </w:pPr>
    </w:p>
    <w:p>
      <w:pPr>
        <w:pStyle w:val="Heading1"/>
      </w:pPr>
      <w:r>
        <w:t>4. Права, участок и юридическая готовность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000"/>
        <w:gridCol w:w="1260"/>
        <w:gridCol w:w="3300"/>
      </w:tblGrid>
      <w:tr>
        <w:trPr>
          <w:tblHeader w:val="true"/>
          <w:cantSplit/>
        </w:trPr>
        <w:tc>
          <w:tcPr>
            <w:tcW w:type="dxa" w:w="18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Контур</w:t>
            </w:r>
          </w:p>
        </w:tc>
        <w:tc>
          <w:tcPr>
            <w:tcW w:type="dxa" w:w="30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Документ</w:t>
            </w:r>
          </w:p>
        </w:tc>
        <w:tc>
          <w:tcPr>
            <w:tcW w:type="dxa" w:w="126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Статус</w:t>
            </w:r>
          </w:p>
        </w:tc>
        <w:tc>
          <w:tcPr>
            <w:tcW w:type="dxa" w:w="33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Следующий шаг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Права на участок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Выписка / договор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Права на здание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Выписка / договор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ВРИ и ограничения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ПЗЗ / ГПЗУ / иное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Градостроительные параметры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ГПЗУ / экспертиза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ОКН / охранные зоны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Предмет охраны / ограничения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Технические условия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Электро-, вода-, тепло-, связь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Разрешительная схема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Проект / экспертиза / разрешение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</w:tbl>
    <w:p>
      <w:pPr>
        <w:spacing w:after="0"/>
      </w:pPr>
    </w:p>
    <w:p>
      <w:r>
        <w:rPr>
          <w:rFonts w:ascii="Arial" w:hAnsi="Arial" w:eastAsia="Arial"/>
          <w:b w:val="0"/>
          <w:i w:val="0"/>
          <w:color w:val="3C4450"/>
          <w:sz w:val="21"/>
        </w:rPr>
        <w:t>Зафиксируйте не только наличие документа, но и его дату, срок действия, выдавший орган и влияние ограничения на номерной фонд, бюджет и график.</w:t>
      </w:r>
    </w:p>
    <w:p>
      <w:pPr>
        <w:pStyle w:val="Heading1"/>
      </w:pPr>
      <w:r>
        <w:t>5. Локация, рынок и конкурентное поле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Границы рынка определены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Город / курорт / зона доступности; почему именно так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Сегменты спроса описаны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Деловой, событийный, туристический, групповой, долгий проживающий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Сезонность измерена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Месяцы, события, ограничения данных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Конкуренты сопоставимы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Формат, класс, локация, номерной фонд, услуги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ADR и загрузка имеют источники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Дата наблюдения, метод, диапазон, не единичный тариф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Новая ёмкость предложения учтена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Стройка, реконструкция, заявленные открытия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Downside рынка описан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Что происходит при снижении ADR/загрузки или сдвиге запуска</w:t>
            </w:r>
          </w:p>
        </w:tc>
      </w:tr>
    </w:tbl>
    <w:p>
      <w:pPr>
        <w:spacing w:after="0"/>
      </w:pPr>
    </w:p>
    <w:p>
      <w:pPr>
        <w:pStyle w:val="Heading1"/>
      </w:pPr>
      <w:r>
        <w:t>6. Концепция и продукт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Целевая аудитория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Кто выбирает объект, цель поездки, критерии выбора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Позиционирование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Какую задачу гостя решает объект и чем отличается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Категории номеров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Количество, площади, вместимость, доли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Общественные функции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F&amp;B, конференции, SPA, coworking и роль в экономике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Сервисная модель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Штат, аутсорсинг, режимы работы, стандарты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Цифровой контур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PMS, channel manager, CRM, BI, платежи, доступы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Классификация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Планируемая категория и статус подготовки</w:t>
            </w:r>
          </w:p>
        </w:tc>
      </w:tr>
    </w:tbl>
    <w:p>
      <w:pPr>
        <w:spacing w:after="0"/>
      </w:pPr>
    </w:p>
    <w:p>
      <w:pPr>
        <w:pStyle w:val="Heading1"/>
      </w:pPr>
      <w:r>
        <w:t>7. Проектирование, стройка и запуск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60"/>
        <w:gridCol w:w="1740"/>
        <w:gridCol w:w="2940"/>
        <w:gridCol w:w="2220"/>
      </w:tblGrid>
      <w:tr>
        <w:trPr>
          <w:tblHeader w:val="true"/>
          <w:cantSplit/>
        </w:trPr>
        <w:tc>
          <w:tcPr>
            <w:tcW w:type="dxa" w:w="246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Веха</w:t>
            </w:r>
          </w:p>
        </w:tc>
        <w:tc>
          <w:tcPr>
            <w:tcW w:type="dxa" w:w="174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Плановая дата</w:t>
            </w:r>
          </w:p>
        </w:tc>
        <w:tc>
          <w:tcPr>
            <w:tcW w:type="dxa" w:w="294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Зависимость</w:t>
            </w:r>
          </w:p>
        </w:tc>
        <w:tc>
          <w:tcPr>
            <w:tcW w:type="dxa" w:w="222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Ответственный</w:t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Концепция и операторское ТЗ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Исходные данные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Проектная документация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Концепция / ТУ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Экспертиза и разрешения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Проект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Строительно-монтажные работы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Финансирование / подряд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Оснащение и IT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Поставка / интеграции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Найм и предпродажи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Бренд / тарифы / каналы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Техническое открытие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Готовность контуров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Стабилизация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Ramp-up спроса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1"/>
      </w:pPr>
      <w:r>
        <w:t>8. CAPEX и источники финансирования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20"/>
        <w:gridCol w:w="2460"/>
        <w:gridCol w:w="1620"/>
        <w:gridCol w:w="2460"/>
      </w:tblGrid>
      <w:tr>
        <w:trPr>
          <w:tblHeader w:val="true"/>
          <w:cantSplit/>
        </w:trPr>
        <w:tc>
          <w:tcPr>
            <w:tcW w:type="dxa" w:w="282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Периметр</w:t>
            </w:r>
          </w:p>
        </w:tc>
        <w:tc>
          <w:tcPr>
            <w:tcW w:type="dxa" w:w="246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База оценки</w:t>
            </w:r>
          </w:p>
        </w:tc>
        <w:tc>
          <w:tcPr>
            <w:tcW w:type="dxa" w:w="162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Сумма</w:t>
            </w:r>
          </w:p>
        </w:tc>
        <w:tc>
          <w:tcPr>
            <w:tcW w:type="dxa" w:w="246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Резерв / риск</w:t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Права / приобретение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Договор / оценка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Проектирование / согласования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Смета / оферты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Строительство / реконструкция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Сводный расчёт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Инженерия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ТУ / сметы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FF&amp;E / OS&amp;E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Спецификации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IT и цифровой запуск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Архитектура / оферты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Предоткрытие и оборотный капитал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Помесячный план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Проценты и комиссии периода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График долга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Резерв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Метод и база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1"/>
      </w:pPr>
      <w:r>
        <w:t>9. Операционная и коммерческая модель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Роль оператора зафиксирована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Управление / франшиза / аренда / собственная команда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Вознаграждение связано с моделью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База, incentive, маркетинговые/системные сборы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План продаж раскрыт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Прямые, OTA, корпоративные, группы, партнёры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Тарифная архитектура описана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BAR, сегменты, ограничения, календарь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Штат и ФОТ рассчитаны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Позиции, ставки, налоги, график найма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Закупки и договоры эксплуатации учтены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Коммунальные, прачечная, питание, охрана, ремонт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Отчётность собственнику определена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P&amp;L, cash flow, KPI, периодичность, доступ к данным</w:t>
            </w:r>
          </w:p>
        </w:tc>
      </w:tr>
    </w:tbl>
    <w:p>
      <w:pPr>
        <w:spacing w:after="0"/>
      </w:pPr>
    </w:p>
    <w:p>
      <w:pPr>
        <w:pStyle w:val="Heading1"/>
      </w:pPr>
      <w:r>
        <w:t>10. Финансовая модель и долг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1440"/>
        <w:gridCol w:w="1440"/>
        <w:gridCol w:w="3780"/>
      </w:tblGrid>
      <w:tr>
        <w:trPr>
          <w:tblHeader w:val="true"/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Проверка модели</w:t>
            </w:r>
          </w:p>
        </w:tc>
        <w:tc>
          <w:tcPr>
            <w:tcW w:type="dxa" w:w="144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Base</w:t>
            </w:r>
          </w:p>
        </w:tc>
        <w:tc>
          <w:tcPr>
            <w:tcW w:type="dxa" w:w="144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Downside</w:t>
            </w:r>
          </w:p>
        </w:tc>
        <w:tc>
          <w:tcPr>
            <w:tcW w:type="dxa" w:w="378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Комментарий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ADR и загрузка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Источники и ramp-up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Выручка по потокам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Rooms / F&amp;B / прочее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Операционные расходы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Постоянные / переменные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EBITDA / NOI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Сверка определения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CAPEX и выборка кредита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Помесячно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Проценты / комиссии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Фикс./плавающая ставка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CFADS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Определение банка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DSCR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Формула и минимум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Погашение / balloon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Источник выплаты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Контроль баланса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Ошибки модели = 0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F7F8FA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1"/>
              </w:rPr>
              <w:t xml:space="preserve">Стресс-тест.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21"/>
              </w:rPr>
              <w:t>Минимум проверьте одновременное снижение загрузки и ADR, рост CAPEX, задержку открытия и изменение стоимости долга. Не складывайте риски механически без объяснения причин и управленческих действий.</w:t>
            </w:r>
          </w:p>
        </w:tc>
      </w:tr>
    </w:tbl>
    <w:p>
      <w:pPr>
        <w:spacing w:after="0"/>
      </w:pPr>
    </w:p>
    <w:p>
      <w:pPr>
        <w:pStyle w:val="Heading1"/>
      </w:pPr>
      <w:r>
        <w:t>11. Обеспечение, ковенанты и контроль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Обеспечение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Активы, поручительства, залоги прав/счетов, оценка и ограничения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Счета и waterfall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Куда поступает выручка, очередность платежей, резервы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Ковенанты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Финансовые и нефинансовые; периодичность тестирования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Условия выборки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Документы и события до каждого транша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Контроль стройки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Техзаказчик, мониторинг, подтверждение работ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Отчётность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Состав, формат, сроки, ответственный</w:t>
            </w:r>
          </w:p>
        </w:tc>
      </w:tr>
    </w:tbl>
    <w:p>
      <w:pPr>
        <w:spacing w:after="0"/>
      </w:pPr>
    </w:p>
    <w:p>
      <w:pPr>
        <w:pStyle w:val="Heading1"/>
      </w:pPr>
      <w:r>
        <w:t>12. Реестр рисков и действий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20"/>
        <w:gridCol w:w="1380"/>
        <w:gridCol w:w="1380"/>
        <w:gridCol w:w="4080"/>
      </w:tblGrid>
      <w:tr>
        <w:trPr>
          <w:tblHeader w:val="true"/>
          <w:cantSplit/>
        </w:trPr>
        <w:tc>
          <w:tcPr>
            <w:tcW w:type="dxa" w:w="252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Риск</w:t>
            </w:r>
          </w:p>
        </w:tc>
        <w:tc>
          <w:tcPr>
            <w:tcW w:type="dxa" w:w="138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Вероятность</w:t>
            </w:r>
          </w:p>
        </w:tc>
        <w:tc>
          <w:tcPr>
            <w:tcW w:type="dxa" w:w="138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Влияние</w:t>
            </w:r>
          </w:p>
        </w:tc>
        <w:tc>
          <w:tcPr>
            <w:tcW w:type="dxa" w:w="408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Мера / владелец / срок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Права и разрешения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Рост CAPEX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Сдвиг графика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Недостижение номерного фонда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ADR / загрузка ниже плана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Слабый предпродажный период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Оператор / команда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Ставка / рефинансирование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Ликвидность собственника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1"/>
      </w:pPr>
      <w:r>
        <w:t>13. Приложения и финальный контроль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Финансовая модель приложена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Версия, дата, автор, лист контрольных проверок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Исходные данные к модели приложены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Источники, даты, допущения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Документы по правам и ограничениям приложены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Реестр файлов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Бюджет подтверждён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Сметы, оферты, договоры, резерв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График проекта согласован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Критический путь и владельцы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Рыночный анализ воспроизводим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Выборка, метод, ограничения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Документы оператора приложены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Письмо / term sheet / договор - если требуется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Все цифры резюме сверены с моделью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Ссылки на ячейки и версии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Требования конкретного банка сверены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Дата чек-листа и контакт банка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1"/>
              </w:rPr>
              <w:t xml:space="preserve">Следующий шаг.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21"/>
              </w:rPr>
              <w:t>После заполнения проведите независимую сверку прав, технической реализуемости, рынка и экономики. Raido Projekt может проверить гостиничную концепцию, модель, операторский контур и подготовить материалы к обсуждению с кредитором.</w:t>
            </w:r>
          </w:p>
        </w:tc>
      </w:tr>
    </w:tbl>
    <w:p>
      <w:pPr>
        <w:spacing w:after="0"/>
      </w:pPr>
    </w:p>
    <w:p/>
    <w:p>
      <w:pPr>
        <w:jc w:val="center"/>
      </w:pPr>
      <w:r>
        <w:rPr>
          <w:rFonts w:ascii="Arial" w:hAnsi="Arial" w:eastAsia="Arial"/>
          <w:b/>
          <w:i w:val="0"/>
          <w:color w:val="C8102E"/>
          <w:sz w:val="20"/>
        </w:rPr>
        <w:t>rprojekt.ru/services/paket-dlya-banka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181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i w:val="0"/>
        <w:color w:val="656E7B"/>
        <w:sz w:val="16"/>
      </w:rPr>
      <w:t xml:space="preserve">rprojekt.ru  ·  </w:t>
    </w:r>
    <w:r>
      <w:rPr>
        <w:rFonts w:ascii="Arial" w:hAnsi="Arial" w:eastAsia="Arial"/>
        <w:b w:val="0"/>
        <w:i w:val="0"/>
        <w:color w:val="656E7B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 w:eastAsia="Arial"/>
        <w:b/>
        <w:i w:val="0"/>
        <w:color w:val="C8102E"/>
        <w:sz w:val="17"/>
      </w:rPr>
      <w:t>RAIDO PROJEKT</w:t>
    </w:r>
    <w:r>
      <w:rPr>
        <w:rFonts w:ascii="Arial" w:hAnsi="Arial" w:eastAsia="Arial"/>
        <w:b w:val="0"/>
        <w:i w:val="0"/>
        <w:color w:val="656E7B"/>
        <w:sz w:val="17"/>
      </w:rPr>
      <w:t xml:space="preserve">  /  рабочий шаблон для собственника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83" w:lineRule="auto"/>
    </w:pPr>
    <w:rPr>
      <w:rFonts w:ascii="Arial" w:hAnsi="Arial"/>
      <w:color w:val="3C445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4181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4181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4181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бизнес-плана гостиницы для банка</dc:title>
  <dc:subject>Рабочая структура банковского пакета гостиничного инвестиционного проекта</dc:subject>
  <dc:creator>Raido Projekt</dc:creator>
  <cp:keywords>отель, гостиница, инвестор, оператор, банк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