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РАБОЧИЙ МАТЕРИАЛ ДЛЯ ИНВЕСТОРА И СОБСТВЕННИКА</w:t>
      </w:r>
    </w:p>
    <w:p>
      <w:pPr>
        <w:keepNext/>
        <w:widowControl/>
        <w:spacing w:before="0" w:after="140" w:line="240" w:lineRule="auto"/>
      </w:pPr>
      <w:r>
        <w:rPr>
          <w:rFonts w:ascii="Calibri" w:hAnsi="Calibri" w:eastAsia="Calibri" w:cs="Calibri"/>
          <w:b/>
          <w:i w:val="0"/>
          <w:color w:val="0B2545"/>
          <w:sz w:val="56"/>
        </w:rPr>
        <w:t>Чек-лист открытия гостиницы</w:t>
      </w:r>
    </w:p>
    <w:p>
      <w:pPr>
        <w:keepNext/>
        <w:widowControl/>
        <w:spacing w:before="0" w:after="360" w:line="288" w:lineRule="auto"/>
      </w:pPr>
      <w:r>
        <w:rPr>
          <w:rFonts w:ascii="Calibri" w:hAnsi="Calibri" w:eastAsia="Calibri" w:cs="Calibri"/>
          <w:b w:val="0"/>
          <w:i w:val="0"/>
          <w:color w:val="5E6670"/>
          <w:sz w:val="26"/>
        </w:rPr>
        <w:t>От инвестиционной задачи и проверки объекта до пробных заездов и передачи в управление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40" w:type="dxa"/>
        <w:tblLayout w:type="fixed"/>
      </w:tblPr>
      <w:tblGrid>
        <w:gridCol w:w="1875"/>
        <w:gridCol w:w="7485"/>
      </w:tblGrid>
      <w:tr>
        <w:trPr>
          <w:tblHeader w:val="true"/>
        </w:trPr>
        <w:tc>
          <w:tcPr>
            <w:tcW w:type="dxa" w:w="187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E8EEF5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/>
                <w:i w:val="0"/>
                <w:color w:val="0B2545"/>
                <w:sz w:val="19"/>
              </w:rPr>
              <w:t>Параметр</w:t>
            </w:r>
          </w:p>
        </w:tc>
        <w:tc>
          <w:tcPr>
            <w:tcW w:type="dxa" w:w="748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E8EEF5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/>
                <w:i w:val="0"/>
                <w:color w:val="0B2545"/>
                <w:sz w:val="19"/>
              </w:rPr>
              <w:t>Значение</w:t>
            </w:r>
          </w:p>
        </w:tc>
      </w:tr>
      <w:tr>
        <w:tc>
          <w:tcPr>
            <w:tcW w:type="dxa" w:w="187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E8EEF5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/>
                <w:i w:val="0"/>
                <w:color w:val="0B2545"/>
                <w:sz w:val="19"/>
              </w:rPr>
              <w:t>Версия</w:t>
            </w:r>
          </w:p>
        </w:tc>
        <w:tc>
          <w:tcPr>
            <w:tcW w:type="dxa" w:w="748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9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20262D"/>
                <w:sz w:val="19"/>
              </w:rPr>
              <w:t>30 июля 2026</w:t>
            </w:r>
          </w:p>
        </w:tc>
      </w:tr>
      <w:tr>
        <w:tc>
          <w:tcPr>
            <w:tcW w:type="dxa" w:w="187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E8EEF5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/>
                <w:i w:val="0"/>
                <w:color w:val="0B2545"/>
                <w:sz w:val="19"/>
              </w:rPr>
              <w:t>Применение</w:t>
            </w:r>
          </w:p>
        </w:tc>
        <w:tc>
          <w:tcPr>
            <w:tcW w:type="dxa" w:w="748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9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20262D"/>
                <w:sz w:val="19"/>
              </w:rPr>
              <w:t>Гостиничный проект в России; требования перепроверяются по объекту и дате</w:t>
            </w:r>
          </w:p>
        </w:tc>
      </w:tr>
    </w:tbl>
    <w:p>
      <w:pPr>
        <w:keepNext w:val="0"/>
        <w:widowControl/>
        <w:spacing w:before="0" w:after="80" w:line="240" w:lineRule="auto"/>
      </w:pPr>
      <w:r>
        <w:rPr>
          <w:rFonts w:ascii="Calibri" w:hAnsi="Calibri" w:eastAsia="Calibri" w:cs="Calibri"/>
          <w:b w:val="0"/>
          <w:i w:val="0"/>
          <w:color w:val="20262D"/>
          <w:sz w:val="8"/>
        </w:rPr>
      </w:r>
    </w:p>
    <w:p>
      <w:pPr>
        <w:keepNext w:val="0"/>
        <w:widowControl/>
        <w:spacing w:before="80" w:after="160" w:line="288" w:lineRule="auto"/>
        <w:ind w:left="259" w:right="115"/>
        <w:shd w:fill="F7E7EA"/>
        <w:pBdr>
          <w:left w:val="single" w:sz="18" w:space="6" w:color="C8102E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Важно.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Это рабочая карта проекта, а не исчерпывающий юридический перечень. Применимость разрешений, уведомлений, классификации, проектных и иных требований определяют профильные специалисты по конкретному объекту и актуальной редакции норм.</w:t>
      </w:r>
    </w:p>
    <w:p>
      <w:pPr>
        <w:pStyle w:val="Heading1"/>
        <w:pageBreakBefore w:val="0"/>
      </w:pPr>
      <w:r>
        <w:t>Как пользоваться чек-листом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Для каждого пункта назначьте владельца, срок и доказательство выполнения: документ, ссылку, протокол, расчёт или акт.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Не отмечайте гипотезу как факт. Если данных нет, фиксируйте допущение, риск и действие для проверки.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После каждого этапа принимайте решение: продолжать, изменить параметры или остановить проект до следующего крупного расхода.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Проверяйте документ заново после изменения объекта, формата, планировок, финансирования или оператора.</w:t>
      </w:r>
    </w:p>
    <w:p>
      <w:pPr>
        <w:pStyle w:val="Heading2"/>
        <w:pageBreakBefore w:val="0"/>
      </w:pPr>
      <w:r>
        <w:t>Контрольная карточка проекта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Объект / адрес: ________________________________________________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Инициатор и владелец решения: __________________________________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Текущая стадия: _______________________________________________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Следующие ворота решения и дата: ________________________________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Ссылка на реестр исходных данных: _______________________________</w:t>
      </w:r>
    </w:p>
    <w:p>
      <w:r>
        <w:br w:type="page"/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01</w:t>
      </w:r>
    </w:p>
    <w:p>
      <w:pPr>
        <w:pStyle w:val="Heading1"/>
        <w:pageBreakBefore w:val="0"/>
      </w:pPr>
      <w:r>
        <w:t>Инвестиционная задача и критерии Go / No-Go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Не начинать крупные расходы, пока не определено, какое решение должен подтвердить проект.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роль инициатора: собственник объекта, инвестор, девелопер или будущий оператор.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Описать формат вложения: покупка, аренда, реконструкция, новое строительство или управление готовым объектом.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Определить рынок, целевого гостя, предполагаемый формат и диапазон номерного фонда как проверяемые гипотезы.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Записать ограничения по общему бюджету, срокам, доле заёмных средств и допустимому риску.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Сформулировать критерии остановки проекта до выбора дизайна, бренда и подрядчиков.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Назначить владельца решения и единый реестр исходных данных, допущений и версий документов.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Краткий инвестиционный мандат: задача, границы, критерии продолжения и ответственный за решение.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02</w:t>
      </w:r>
    </w:p>
    <w:p>
      <w:pPr>
        <w:pStyle w:val="Heading1"/>
        <w:pageBreakBefore w:val="0"/>
      </w:pPr>
      <w:r>
        <w:t>Объект, права и ограничения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Понять, допустим ли гостиничный сценарий и какие ограничения влияют на планировки, сроки и вложения.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адрес, кадастровый номер, поэтажные планы, площади, этажность и сведения о текущем использовании.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правоустанавливающие документы, обременения, границы ответственности и срок владения или аренды.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Получить применимые градостроительные и земельные исходные данные, включая ограничения территории.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статус объекта культурного наследия, зоны охраны и предмет охраны, если они применимы.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Заказать обследования и обмеры в глубине, достаточной для текущей стадии решения.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доступные мощности и ограничения инженерных систем, подъезды, эвакуацию и логистику обслуживания.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Отдельно перечислить неизвестные данные, которые могут изменить номерной фонд или бюджет.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Паспорт объекта и карта ограничений с источником, датой, ответственным и влиянием на проект.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03</w:t>
      </w:r>
    </w:p>
    <w:p>
      <w:pPr>
        <w:pStyle w:val="Heading1"/>
        <w:pageBreakBefore w:val="0"/>
      </w:pPr>
      <w:r>
        <w:t>Рынок, формат и гостиничная программа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Связать реальный спрос с продуктом и продаваемым номерным фондом, а не копировать чужой отель.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Определить источники спроса по сезонам, дням недели и целям поездки.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сопоставимые объекты и для каждого зафиксировать источник, дату и границы сравнения.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позиционирование, типологию номеров, общественные функции и дополнительные источники выручки.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Рассчитать предварительный номерной фонд с учётом служебных, технических и общественных зон.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Описать путь гостя, персонала, белья, отходов, поставок и обслуживания номеров.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Согласовать формат управления и требования будущего оператора до детального проектирования.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Концепция и гостиничная программа, которые можно одновременно передать проектировщику и финансовому аналитику.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04</w:t>
      </w:r>
    </w:p>
    <w:p>
      <w:pPr>
        <w:pStyle w:val="Heading1"/>
        <w:pageBreakBefore w:val="0"/>
      </w:pPr>
      <w:r>
        <w:t>Финансовая модель, бюджет и график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Проверить весь денежный маршрут до устойчивой эксплуатации, а не только выручку высокого сезона.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доходы по сегментам и отделить выручку номерного фонда от прочих подразделений.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загрузку, ADR, RevPAR и сезонность как допущения с источниками и датами.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операционные, собственнические и предэксплуатационные расходы раздельно.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Включить приобретение или аренду, проектирование, стройку, оснащение, подключения, резерв и оборотные средства.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Связать график вложений с проектированием, согласованиями, стройкой, поставками и подготовкой к открытию.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Построить минимум базовый и негативный сценарии; проверить чувствительность к цене, загрузке, срокам и CAPEX.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Отдельно проверить долг, налоги, ковенанты и денежный запас с профильными специалистами и кредитором.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Версионная финансовая модель и календарь финансирования с видимыми фактами, допущениями и стресс-сценарием.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05</w:t>
      </w:r>
    </w:p>
    <w:p>
      <w:pPr>
        <w:pStyle w:val="Heading1"/>
        <w:pageBreakBefore w:val="0"/>
      </w:pPr>
      <w:r>
        <w:t>Проектирование, стройка и комплектация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Сохранить гостиничную и финансовую логику в проектных решениях и изменениях на стройке.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Передать проектировщикам гостиничное техническое задание и назначить владельца его актуальной версии.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Проверять планировки, типовой номер, служебные зоны, доступность, потоки и эксплуатационные сценарии.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Согласовать применимый состав проектной документации, экспертиз и разрешительных процедур.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Связать изменения проекта с номерным фондом, CAPEX, сроками, будущими расходами и выручкой.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Утвердить образцы отделки, мебели и оборудования до массовой закупки.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Вести реестр замечаний, доказательств устранения, исполнительной документации и гарантий.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готовность объекта к обслуживанию после открытия: доступ к инженерии, ремонту и поставкам.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Согласованный проект, реестр изменений и комплект приёмки, пригодный для передачи предэксплуатационной команде.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06</w:t>
      </w:r>
    </w:p>
    <w:p>
      <w:pPr>
        <w:pStyle w:val="Heading1"/>
        <w:pageBreakBefore w:val="0"/>
      </w:pPr>
      <w:r>
        <w:t>Обязательные контуры перед оказанием услуг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Не подменять юридическую и техническую проверку универсальным списком документов из интернета.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государственную регистрацию бизнеса, применимые виды деятельности, налоговый режим и кассовую схему.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актуальный порядок классификации, включение объекта в единый реестр и допустимое обозначение категории.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подачу уведомления о начале соответствующего вида деятельности до фактического оказания услуг.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 профильным специалистом определить применимые требования пожарной безопасности и необходимость декларации для объекта.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применимые санитарные, пищевые, водные, отходные и производственные контуры с ответственными и журналами.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доступность для маломобильных гостей в проекте, оснащении, информации и операционных процедурах.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Определить оператора персональных данных, состав обработок, основания, локальные документы, доступы и применимость уведомления Роскомнадзора.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договоры с гостем, правила размещения, обязательную информацию, возвраты и порядок работы с претензиями.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Для дополнительных услуг отдельно проверить применимые лицензии, уведомления и требования.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Матрица обязательных требований: требование, применимость, документ или действие, владелец, срок и доказательство выполнения.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07</w:t>
      </w:r>
    </w:p>
    <w:p>
      <w:pPr>
        <w:pStyle w:val="Heading1"/>
        <w:pageBreakBefore w:val="0"/>
      </w:pPr>
      <w:r>
        <w:t>Оператор, команда, системы и продажи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Запустить операционную систему раньше первых гостей и сохранить контроль собственника над данными.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модель управления, полномочия оператора, решения собственника, отчётность и порядок выхода из договора.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Назначить руководителя предэксплуатационного периода и владельцев коммерческого, операционного и технического контуров.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Составить план найма, обучения, допусков, смен и резервирования критичных ролей.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Настроить PMS, продажи, сайт, платежи, учёт, телефонию, замки и интеграции; оформить владельцев доступов.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тарифы, ограничения, контент, договоры каналов и календарь открытия продаж.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Утвердить стандарты бронирования, заезда, уборки, завтрака, технических заявок, инцидентов и возвратов.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Подготовить закупки, запасы, договоры поставщиков, сервисные уровни и запасной маршрут по критичным позициям.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Настроить ежедневный отчёт по загрузке, ADR, RevPAR, выручке, платежам, инцидентам и готовности номерного фонда.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Предэксплуатационный план с владельцами, сроками, доступами, регламентами и контрольной отчётностью собственнику.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08</w:t>
      </w:r>
    </w:p>
    <w:p>
      <w:pPr>
        <w:pStyle w:val="Heading1"/>
        <w:pageBreakBefore w:val="0"/>
      </w:pPr>
      <w:r>
        <w:t>Пробный запуск и первые 30 дней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Считать открытие управляемым периодом проверки, а не одной рекламной датой.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Провести техническую приёмку номера, общественных и служебных зон по повторяемому сценарию.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путь бронирования, оплату, заезд, проживание, обращение гостя, выезд и закрывающие документы.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Провести пробные заезды с ограниченной загрузкой и зафиксировать замечания по владельцам и срокам.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Определить максимальную безопасную загрузку на каждый этап запуска и условия её повышения.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Настроить ежедневный разбор отклонений по продукту, людям, системам, продажам и финансам.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Сверить фактические ADR, RevPAR, расходы и темп продаж с моделью без преждевременного вывода по короткому периоду.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Обновить регламенты, бюджет, прогноз и план устранения дефектов по итогам первых недель.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пакет передачи из проекта в постоянное управление и владельцев незакрытых обязательств.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Протокол допуска к рабочему режиму, реестр незакрытых задач и обновлённый операционный прогноз.</w:t>
      </w:r>
    </w:p>
    <w:p>
      <w:pPr>
        <w:pStyle w:val="Heading1"/>
        <w:pageBreakBefore w:val="0"/>
      </w:pPr>
      <w:r>
        <w:t>Папка проекта перед открытием</w:t>
      </w:r>
    </w:p>
    <w:p>
      <w:pPr>
        <w:keepNext w:val="0"/>
        <w:widowControl/>
        <w:spacing w:before="0" w:after="160" w:line="300" w:lineRule="auto"/>
      </w:pPr>
      <w:r>
        <w:rPr>
          <w:rFonts w:ascii="Calibri" w:hAnsi="Calibri" w:eastAsia="Calibri" w:cs="Calibri"/>
          <w:b w:val="0"/>
          <w:i w:val="0"/>
          <w:color w:val="5E6670"/>
          <w:sz w:val="21"/>
        </w:rPr>
        <w:t>Структура папки должна показывать не только наличие файлов, но и актуальную версию, владельца и связь документа с решением.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01_Инвестиционная_задача и протоколы Go / No-Go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02_Объект_права_ограничения и исходные данные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03_Рынок_концепция_гостиничная_программа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04_Финансовая_модель_бюджет_график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05_Проект_изменения_исполнительная_документация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06_Обязательные_контуры и доказательства применимости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07_Оператор_команда_системы_регламенты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08_Пробный_запуск_замечания_передача</w:t>
      </w:r>
    </w:p>
    <w:p>
      <w:pPr>
        <w:pStyle w:val="Heading1"/>
        <w:pageBreakBefore w:val="0"/>
      </w:pPr>
      <w:r>
        <w:t>Официальные источники для актуализации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 w:val="0"/>
          <w:color w:val="5E6670"/>
          <w:sz w:val="21"/>
        </w:rPr>
        <w:t>Проверено 30 июля 2026. Перед использованием откройте актуальную редакцию и проверьте применимость к объекту, формату и региону.</w:t>
      </w:r>
    </w:p>
    <w:p>
      <w:pPr>
        <w:keepNext w:val="0"/>
        <w:widowControl/>
        <w:spacing w:before="0" w:after="100" w:line="288" w:lineRule="auto"/>
      </w:pPr>
      <w:hyperlink r:id="rId11">
        <w:r>
          <w:rPr>
            <w:rFonts w:ascii="Calibri" w:hAnsi="Calibri"/>
            <w:color w:val="2E74B5"/>
            <w:u w:val="single"/>
            <w:sz w:val="20"/>
          </w:rPr>
          <w:t>Постановление Правительства РФ от 27.12.2024 N 1951 - Положение о классификации средств размещения</w:t>
        </w:r>
      </w:hyperlink>
    </w:p>
    <w:p>
      <w:pPr>
        <w:keepNext w:val="0"/>
        <w:widowControl/>
        <w:spacing w:before="0" w:after="100" w:line="288" w:lineRule="auto"/>
      </w:pPr>
      <w:hyperlink r:id="rId12">
        <w:r>
          <w:rPr>
            <w:rFonts w:ascii="Calibri" w:hAnsi="Calibri"/>
            <w:color w:val="2E74B5"/>
            <w:u w:val="single"/>
            <w:sz w:val="20"/>
          </w:rPr>
          <w:t>Постановление Правительства РФ от 27.12.2024 N 1952 - правила классификации и единого реестра</w:t>
        </w:r>
      </w:hyperlink>
    </w:p>
    <w:p>
      <w:pPr>
        <w:keepNext w:val="0"/>
        <w:widowControl/>
        <w:spacing w:before="0" w:after="100" w:line="288" w:lineRule="auto"/>
      </w:pPr>
      <w:hyperlink r:id="rId13">
        <w:r>
          <w:rPr>
            <w:rFonts w:ascii="Calibri" w:hAnsi="Calibri"/>
            <w:color w:val="2E74B5"/>
            <w:u w:val="single"/>
            <w:sz w:val="20"/>
          </w:rPr>
          <w:t>Единый реестр объектов классификации в сфере туристской индустрии</w:t>
        </w:r>
      </w:hyperlink>
    </w:p>
    <w:p>
      <w:pPr>
        <w:keepNext w:val="0"/>
        <w:widowControl/>
        <w:spacing w:before="0" w:after="100" w:line="288" w:lineRule="auto"/>
      </w:pPr>
      <w:hyperlink r:id="rId14">
        <w:r>
          <w:rPr>
            <w:rFonts w:ascii="Calibri" w:hAnsi="Calibri"/>
            <w:color w:val="2E74B5"/>
            <w:u w:val="single"/>
            <w:sz w:val="20"/>
          </w:rPr>
          <w:t>Постановление Правительства РФ от 18.11.2020 N 1853 - правила предоставления гостиничных услуг</w:t>
        </w:r>
      </w:hyperlink>
    </w:p>
    <w:p>
      <w:pPr>
        <w:keepNext w:val="0"/>
        <w:widowControl/>
        <w:spacing w:before="0" w:after="100" w:line="288" w:lineRule="auto"/>
      </w:pPr>
      <w:hyperlink r:id="rId15">
        <w:r>
          <w:rPr>
            <w:rFonts w:ascii="Calibri" w:hAnsi="Calibri"/>
            <w:color w:val="2E74B5"/>
            <w:u w:val="single"/>
            <w:sz w:val="20"/>
          </w:rPr>
          <w:t>Роспотребнадзор - порядок уведомления о начале отдельных видов деятельности</w:t>
        </w:r>
      </w:hyperlink>
    </w:p>
    <w:p>
      <w:pPr>
        <w:keepNext w:val="0"/>
        <w:widowControl/>
        <w:spacing w:before="0" w:after="100" w:line="288" w:lineRule="auto"/>
      </w:pPr>
      <w:hyperlink r:id="rId16">
        <w:r>
          <w:rPr>
            <w:rFonts w:ascii="Calibri" w:hAnsi="Calibri"/>
            <w:color w:val="2E74B5"/>
            <w:u w:val="single"/>
            <w:sz w:val="20"/>
          </w:rPr>
          <w:t>МЧС России - регистрация деклараций пожарной безопасности</w:t>
        </w:r>
      </w:hyperlink>
    </w:p>
    <w:p>
      <w:pPr>
        <w:keepNext w:val="0"/>
        <w:widowControl/>
        <w:spacing w:before="0" w:after="100" w:line="288" w:lineRule="auto"/>
      </w:pPr>
      <w:hyperlink r:id="rId17">
        <w:r>
          <w:rPr>
            <w:rFonts w:ascii="Calibri" w:hAnsi="Calibri"/>
            <w:color w:val="2E74B5"/>
            <w:u w:val="single"/>
            <w:sz w:val="20"/>
          </w:rPr>
          <w:t>Роскомнадзор - сведения для операторов персональных данных</w:t>
        </w:r>
      </w:hyperlink>
    </w:p>
    <w:p>
      <w:pPr>
        <w:keepNext w:val="0"/>
        <w:widowControl/>
        <w:spacing w:before="0" w:after="100" w:line="288" w:lineRule="auto"/>
      </w:pPr>
      <w:hyperlink r:id="rId18">
        <w:r>
          <w:rPr>
            <w:rFonts w:ascii="Calibri" w:hAnsi="Calibri"/>
            <w:color w:val="2E74B5"/>
            <w:u w:val="single"/>
            <w:sz w:val="20"/>
          </w:rPr>
          <w:t>ФНС России - государственная регистрация бизнеса</w:t>
        </w:r>
      </w:hyperlink>
    </w:p>
    <w:p>
      <w:pPr>
        <w:keepNext w:val="0"/>
        <w:widowControl/>
        <w:spacing w:before="80" w:after="160" w:line="288" w:lineRule="auto"/>
        <w:ind w:left="259" w:right="115"/>
        <w:shd w:fill="E8EEF5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Следующий шаг.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Если объект уже выбран, начните с независимой оценки допустимости, спроса и экономики. Это дешевле, чем уточнять концепцию после проектирования или стройки.</w:t>
      </w:r>
    </w:p>
    <w:p>
      <w:pPr>
        <w:keepNext w:val="0"/>
        <w:widowControl/>
        <w:spacing w:before="0" w:after="80" w:line="300" w:lineRule="auto"/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Оценка гостиничного проекта: </w:t>
      </w:r>
      <w:hyperlink r:id="rId19">
        <w:r>
          <w:rPr>
            <w:rFonts w:ascii="Calibri" w:hAnsi="Calibri"/>
            <w:color w:val="2E74B5"/>
            <w:u w:val="single"/>
            <w:sz w:val="20"/>
          </w:rPr>
          <w:t>перейти к оценке проекта</w:t>
        </w:r>
      </w:hyperlink>
    </w:p>
    <w:p>
      <w:pPr>
        <w:keepNext w:val="0"/>
        <w:widowControl/>
        <w:spacing w:before="0" w:after="80" w:line="300" w:lineRule="auto"/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Полный маршрут открытия: </w:t>
      </w:r>
      <w:hyperlink r:id="rId20">
        <w:r>
          <w:rPr>
            <w:rFonts w:ascii="Calibri" w:hAnsi="Calibri"/>
            <w:color w:val="2E74B5"/>
            <w:u w:val="single"/>
            <w:sz w:val="20"/>
          </w:rPr>
          <w:t>открыть маршрут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widowControl/>
      <w:spacing w:before="0" w:after="0" w:line="240" w:lineRule="auto"/>
      <w:jc w:val="right"/>
    </w:pPr>
    <w:r>
      <w:rPr>
        <w:rFonts w:ascii="Calibri" w:hAnsi="Calibri" w:eastAsia="Calibri" w:cs="Calibri"/>
        <w:b w:val="0"/>
        <w:i w:val="0"/>
        <w:color w:val="5E6670"/>
        <w:sz w:val="18"/>
      </w:rPr>
      <w:t xml:space="preserve">Стр.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0" w:line="240" w:lineRule="auto"/>
    </w:pPr>
    <w:r>
      <w:rPr>
        <w:rFonts w:ascii="Calibri" w:hAnsi="Calibri" w:eastAsia="Calibri" w:cs="Calibri"/>
        <w:b w:val="0"/>
        <w:i w:val="0"/>
        <w:color w:val="5E6670"/>
        <w:sz w:val="17"/>
      </w:rPr>
      <w:t>Чек-лист открытия гостиницы | Raido Projekt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☐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DejaVu Sans" w:hAnsi="DejaVu Sans"/>
        <w:color w:val="C8102E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20" w:line="300" w:lineRule="auto"/>
    </w:pPr>
    <w:rPr>
      <w:rFonts w:ascii="Calibri" w:hAnsi="Calibri" w:eastAsia="Calibri"/>
      <w:b w:val="0"/>
      <w:color w:val="2026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ublication.pravo.gov.ru/document/0001202412310014" TargetMode="External"/><Relationship Id="rId12" Type="http://schemas.openxmlformats.org/officeDocument/2006/relationships/hyperlink" Target="https://publication.pravo.gov.ru/document/0001202412310009" TargetMode="External"/><Relationship Id="rId13" Type="http://schemas.openxmlformats.org/officeDocument/2006/relationships/hyperlink" Target="https://tourism.fsa.gov.ru/ru/main" TargetMode="External"/><Relationship Id="rId14" Type="http://schemas.openxmlformats.org/officeDocument/2006/relationships/hyperlink" Target="https://publication.pravo.gov.ru/Document/View/0001202011200034" TargetMode="External"/><Relationship Id="rId15" Type="http://schemas.openxmlformats.org/officeDocument/2006/relationships/hyperlink" Target="https://04.rospotrebnadzor.ru/index.php/component/content/article/45-licanz-otdel/19852-05022025.pdf" TargetMode="External"/><Relationship Id="rId16" Type="http://schemas.openxmlformats.org/officeDocument/2006/relationships/hyperlink" Target="https://mchs.gov.ru/deyatelnost/uslugi/registraciya-deklaraciy-pozharnoy-bezopasnosti" TargetMode="External"/><Relationship Id="rId17" Type="http://schemas.openxmlformats.org/officeDocument/2006/relationships/hyperlink" Target="https://82.rkn.gov.ru/directions/pers/p15375/" TargetMode="External"/><Relationship Id="rId18" Type="http://schemas.openxmlformats.org/officeDocument/2006/relationships/hyperlink" Target="https://www.nalog.gov.ru/create_business/ip/creation/registration/" TargetMode="External"/><Relationship Id="rId19" Type="http://schemas.openxmlformats.org/officeDocument/2006/relationships/hyperlink" Target="https://rprojekt.ru/services/otsenka-proekta" TargetMode="External"/><Relationship Id="rId20" Type="http://schemas.openxmlformats.org/officeDocument/2006/relationships/hyperlink" Target="https://rprojekt.ru/otkryt-o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открытия гостиницы</dc:title>
  <dc:subject>Рабочая карта инвестора и собственника от идеи до первых гостей</dc:subject>
  <dc:creator>Raido Projekt</dc:creator>
  <cp:keywords>открытие гостиницы, чек-лист, документы, инвестор, оператор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